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adjustRightInd w:val="0"/>
        <w:snapToGrid w:val="0"/>
        <w:spacing w:line="360" w:lineRule="auto"/>
        <w:jc w:val="center"/>
        <w:rPr>
          <w:rFonts w:hint="eastAsia" w:ascii="宋体" w:hAnsi="宋体" w:cs="Arial"/>
          <w:sz w:val="24"/>
        </w:rPr>
      </w:pPr>
    </w:p>
    <w:p>
      <w:pPr>
        <w:adjustRightInd w:val="0"/>
        <w:snapToGrid w:val="0"/>
        <w:spacing w:line="360" w:lineRule="auto"/>
        <w:jc w:val="center"/>
        <w:rPr>
          <w:rFonts w:hint="eastAsia" w:ascii="宋体" w:hAnsi="宋体" w:cs="Arial"/>
          <w:sz w:val="24"/>
        </w:rPr>
      </w:pPr>
    </w:p>
    <w:p>
      <w:pPr>
        <w:adjustRightInd w:val="0"/>
        <w:snapToGrid w:val="0"/>
        <w:spacing w:line="360" w:lineRule="auto"/>
        <w:jc w:val="center"/>
        <w:rPr>
          <w:rFonts w:hint="eastAsia" w:ascii="宋体" w:hAnsi="宋体" w:cs="Arial"/>
          <w:sz w:val="24"/>
        </w:rPr>
      </w:pPr>
    </w:p>
    <w:p>
      <w:pPr>
        <w:adjustRightInd w:val="0"/>
        <w:snapToGrid w:val="0"/>
        <w:spacing w:line="360" w:lineRule="auto"/>
        <w:jc w:val="center"/>
        <w:rPr>
          <w:rFonts w:hint="eastAsia" w:ascii="宋体" w:hAnsi="宋体" w:cs="Arial"/>
          <w:sz w:val="24"/>
        </w:rPr>
      </w:pPr>
    </w:p>
    <w:p>
      <w:pPr>
        <w:adjustRightInd w:val="0"/>
        <w:snapToGrid w:val="0"/>
        <w:spacing w:line="360" w:lineRule="auto"/>
        <w:jc w:val="center"/>
        <w:rPr>
          <w:rFonts w:hint="eastAsia" w:ascii="宋体" w:hAnsi="宋体" w:cs="Arial"/>
          <w:sz w:val="24"/>
        </w:rPr>
      </w:pPr>
    </w:p>
    <w:p>
      <w:pPr>
        <w:adjustRightInd w:val="0"/>
        <w:snapToGrid w:val="0"/>
        <w:spacing w:line="360" w:lineRule="auto"/>
        <w:jc w:val="center"/>
        <w:rPr>
          <w:rFonts w:hint="eastAsia" w:ascii="宋体" w:hAnsi="宋体" w:cs="Arial"/>
          <w:sz w:val="24"/>
        </w:rPr>
      </w:pPr>
    </w:p>
    <w:p>
      <w:pPr>
        <w:adjustRightInd w:val="0"/>
        <w:snapToGrid w:val="0"/>
        <w:spacing w:line="360" w:lineRule="auto"/>
        <w:jc w:val="center"/>
        <w:rPr>
          <w:rFonts w:hint="eastAsia" w:ascii="宋体" w:hAnsi="宋体" w:cs="Arial"/>
          <w:sz w:val="24"/>
        </w:rPr>
      </w:pPr>
    </w:p>
    <w:p>
      <w:pPr>
        <w:adjustRightInd w:val="0"/>
        <w:snapToGrid w:val="0"/>
        <w:spacing w:line="360" w:lineRule="auto"/>
        <w:jc w:val="center"/>
        <w:rPr>
          <w:rFonts w:hint="eastAsia" w:ascii="宋体" w:hAnsi="宋体" w:cs="Arial"/>
          <w:b/>
          <w:sz w:val="44"/>
        </w:rPr>
      </w:pPr>
      <w:r>
        <w:rPr>
          <w:rFonts w:hint="eastAsia" w:ascii="宋体" w:hAnsi="宋体" w:cs="Arial"/>
          <w:b/>
          <w:sz w:val="44"/>
        </w:rPr>
        <w:t>博时卓睿成长股票型证券投资基金</w:t>
      </w:r>
    </w:p>
    <w:p>
      <w:pPr>
        <w:adjustRightInd w:val="0"/>
        <w:snapToGrid w:val="0"/>
        <w:spacing w:line="360" w:lineRule="auto"/>
        <w:jc w:val="center"/>
        <w:rPr>
          <w:rFonts w:hint="eastAsia" w:ascii="宋体" w:hAnsi="宋体" w:cs="Arial"/>
          <w:b/>
          <w:sz w:val="44"/>
        </w:rPr>
      </w:pPr>
      <w:r>
        <w:rPr>
          <w:rFonts w:hint="eastAsia" w:ascii="宋体" w:hAnsi="宋体" w:cs="Arial"/>
          <w:b/>
          <w:sz w:val="44"/>
        </w:rPr>
        <w:t>托管协议</w:t>
      </w:r>
    </w:p>
    <w:p>
      <w:pPr>
        <w:adjustRightInd w:val="0"/>
        <w:snapToGrid w:val="0"/>
        <w:spacing w:line="360" w:lineRule="auto"/>
        <w:jc w:val="center"/>
        <w:outlineLvl w:val="0"/>
        <w:rPr>
          <w:rFonts w:hint="eastAsia" w:ascii="宋体" w:hAnsi="宋体" w:cs="Arial"/>
          <w:sz w:val="24"/>
        </w:rPr>
      </w:pPr>
    </w:p>
    <w:p>
      <w:pPr>
        <w:adjustRightInd w:val="0"/>
        <w:snapToGrid w:val="0"/>
        <w:spacing w:line="360" w:lineRule="auto"/>
        <w:jc w:val="center"/>
        <w:outlineLvl w:val="0"/>
        <w:rPr>
          <w:rFonts w:hint="eastAsia" w:ascii="宋体" w:hAnsi="宋体" w:cs="Arial"/>
          <w:sz w:val="24"/>
        </w:rPr>
      </w:pPr>
    </w:p>
    <w:p>
      <w:pPr>
        <w:adjustRightInd w:val="0"/>
        <w:snapToGrid w:val="0"/>
        <w:spacing w:line="360" w:lineRule="auto"/>
        <w:jc w:val="center"/>
        <w:outlineLvl w:val="0"/>
        <w:rPr>
          <w:rFonts w:hint="eastAsia" w:ascii="宋体" w:hAnsi="宋体" w:cs="Arial"/>
          <w:sz w:val="24"/>
        </w:rPr>
      </w:pPr>
    </w:p>
    <w:p>
      <w:pPr>
        <w:adjustRightInd w:val="0"/>
        <w:snapToGrid w:val="0"/>
        <w:spacing w:line="360" w:lineRule="auto"/>
        <w:jc w:val="center"/>
        <w:outlineLvl w:val="0"/>
        <w:rPr>
          <w:rFonts w:hint="eastAsia" w:ascii="宋体" w:hAnsi="宋体" w:cs="Arial"/>
          <w:sz w:val="24"/>
        </w:rPr>
      </w:pPr>
    </w:p>
    <w:p>
      <w:pPr>
        <w:adjustRightInd w:val="0"/>
        <w:snapToGrid w:val="0"/>
        <w:spacing w:line="360" w:lineRule="auto"/>
        <w:jc w:val="center"/>
        <w:outlineLvl w:val="0"/>
        <w:rPr>
          <w:rFonts w:hint="eastAsia" w:ascii="宋体" w:hAnsi="宋体" w:cs="Arial"/>
          <w:sz w:val="24"/>
        </w:rPr>
      </w:pPr>
    </w:p>
    <w:p>
      <w:pPr>
        <w:adjustRightInd w:val="0"/>
        <w:snapToGrid w:val="0"/>
        <w:spacing w:line="360" w:lineRule="auto"/>
        <w:jc w:val="center"/>
        <w:outlineLvl w:val="0"/>
        <w:rPr>
          <w:rFonts w:hint="eastAsia" w:ascii="宋体" w:hAnsi="宋体" w:cs="Arial"/>
          <w:sz w:val="24"/>
        </w:rPr>
      </w:pPr>
    </w:p>
    <w:p>
      <w:pPr>
        <w:adjustRightInd w:val="0"/>
        <w:snapToGrid w:val="0"/>
        <w:spacing w:line="360" w:lineRule="auto"/>
        <w:jc w:val="center"/>
        <w:outlineLvl w:val="0"/>
        <w:rPr>
          <w:rFonts w:hint="eastAsia" w:ascii="宋体" w:hAnsi="宋体" w:cs="Arial"/>
          <w:sz w:val="24"/>
        </w:rPr>
      </w:pPr>
    </w:p>
    <w:p>
      <w:pPr>
        <w:adjustRightInd w:val="0"/>
        <w:snapToGrid w:val="0"/>
        <w:spacing w:line="360" w:lineRule="auto"/>
        <w:jc w:val="center"/>
        <w:outlineLvl w:val="0"/>
        <w:rPr>
          <w:rFonts w:hint="eastAsia" w:ascii="宋体" w:hAnsi="宋体" w:cs="Arial"/>
          <w:b/>
          <w:bCs/>
          <w:sz w:val="28"/>
        </w:rPr>
      </w:pPr>
      <w:r>
        <w:rPr>
          <w:rFonts w:hint="eastAsia" w:ascii="宋体" w:hAnsi="宋体" w:cs="Arial"/>
          <w:b/>
          <w:bCs/>
          <w:sz w:val="28"/>
        </w:rPr>
        <w:t>基金管理人：博时基金管理有限公司</w:t>
      </w:r>
    </w:p>
    <w:p>
      <w:pPr>
        <w:adjustRightInd w:val="0"/>
        <w:snapToGrid w:val="0"/>
        <w:spacing w:line="360" w:lineRule="auto"/>
        <w:jc w:val="center"/>
        <w:outlineLvl w:val="0"/>
        <w:rPr>
          <w:rFonts w:hint="eastAsia" w:ascii="宋体" w:hAnsi="宋体" w:cs="Arial"/>
          <w:b/>
          <w:bCs/>
          <w:sz w:val="28"/>
        </w:rPr>
      </w:pPr>
      <w:r>
        <w:rPr>
          <w:rFonts w:hint="eastAsia" w:ascii="宋体" w:hAnsi="宋体" w:cs="Arial"/>
          <w:b/>
          <w:bCs/>
          <w:sz w:val="28"/>
        </w:rPr>
        <w:t>基金托管人：中国建设银行股份有限公司</w:t>
      </w:r>
    </w:p>
    <w:p>
      <w:pPr>
        <w:widowControl/>
        <w:adjustRightInd w:val="0"/>
        <w:snapToGrid w:val="0"/>
        <w:spacing w:line="360" w:lineRule="auto"/>
        <w:ind w:firstLine="480" w:firstLineChars="200"/>
        <w:rPr>
          <w:rFonts w:hint="eastAsia" w:ascii="宋体" w:hAnsi="宋体" w:cs="Arial"/>
          <w:sz w:val="24"/>
        </w:rPr>
      </w:pPr>
    </w:p>
    <w:p>
      <w:pPr>
        <w:widowControl/>
        <w:adjustRightInd w:val="0"/>
        <w:snapToGrid w:val="0"/>
        <w:spacing w:line="360" w:lineRule="auto"/>
        <w:ind w:firstLine="480" w:firstLineChars="200"/>
        <w:rPr>
          <w:rFonts w:hint="eastAsia" w:ascii="宋体" w:hAnsi="宋体" w:cs="Arial"/>
          <w:sz w:val="24"/>
        </w:rPr>
      </w:pPr>
    </w:p>
    <w:p>
      <w:pPr>
        <w:adjustRightInd w:val="0"/>
        <w:snapToGrid w:val="0"/>
        <w:spacing w:line="360" w:lineRule="auto"/>
        <w:jc w:val="center"/>
        <w:outlineLvl w:val="0"/>
        <w:rPr>
          <w:rFonts w:hint="eastAsia" w:ascii="宋体" w:hAnsi="宋体" w:cs="Arial"/>
          <w:b/>
          <w:bCs/>
          <w:sz w:val="28"/>
        </w:rPr>
      </w:pPr>
    </w:p>
    <w:p>
      <w:pPr>
        <w:adjustRightInd w:val="0"/>
        <w:snapToGrid w:val="0"/>
        <w:spacing w:line="360" w:lineRule="auto"/>
        <w:jc w:val="center"/>
        <w:outlineLvl w:val="0"/>
        <w:rPr>
          <w:rFonts w:hint="eastAsia" w:ascii="宋体" w:hAnsi="宋体" w:cs="Arial"/>
          <w:b/>
          <w:bCs/>
          <w:sz w:val="28"/>
        </w:rPr>
      </w:pPr>
      <w:r>
        <w:rPr>
          <w:rFonts w:hint="eastAsia" w:ascii="宋体" w:hAnsi="宋体" w:cs="Arial"/>
          <w:b/>
          <w:bCs/>
          <w:sz w:val="28"/>
        </w:rPr>
        <w:t>二零二五年</w:t>
      </w:r>
      <w:r>
        <w:rPr>
          <w:rFonts w:hint="eastAsia" w:ascii="宋体" w:hAnsi="宋体" w:cs="Arial"/>
          <w:b/>
          <w:bCs/>
          <w:sz w:val="28"/>
          <w:lang w:val="en-US" w:eastAsia="zh-CN"/>
        </w:rPr>
        <w:t>五</w:t>
      </w:r>
      <w:r>
        <w:rPr>
          <w:rFonts w:hint="eastAsia" w:ascii="宋体" w:hAnsi="宋体" w:cs="Arial"/>
          <w:b/>
          <w:bCs/>
          <w:sz w:val="28"/>
        </w:rPr>
        <w:t>月</w:t>
      </w:r>
    </w:p>
    <w:p>
      <w:pPr>
        <w:widowControl/>
        <w:adjustRightInd w:val="0"/>
        <w:snapToGrid w:val="0"/>
        <w:spacing w:line="360" w:lineRule="auto"/>
        <w:ind w:firstLine="480" w:firstLineChars="200"/>
        <w:rPr>
          <w:rFonts w:hint="eastAsia" w:ascii="宋体" w:hAnsi="宋体" w:cs="Arial"/>
          <w:sz w:val="24"/>
        </w:rPr>
      </w:pPr>
    </w:p>
    <w:p>
      <w:pPr>
        <w:adjustRightInd w:val="0"/>
        <w:snapToGrid w:val="0"/>
        <w:spacing w:line="360" w:lineRule="auto"/>
        <w:outlineLvl w:val="0"/>
        <w:rPr>
          <w:rFonts w:hint="eastAsia" w:ascii="宋体" w:hAnsi="宋体" w:cs="Arial"/>
          <w:sz w:val="24"/>
        </w:rPr>
      </w:pPr>
    </w:p>
    <w:p>
      <w:pPr>
        <w:widowControl/>
        <w:adjustRightInd w:val="0"/>
        <w:snapToGrid w:val="0"/>
        <w:spacing w:line="360" w:lineRule="auto"/>
        <w:ind w:firstLine="480" w:firstLineChars="200"/>
        <w:rPr>
          <w:rFonts w:hint="eastAsia" w:ascii="宋体" w:hAnsi="宋体" w:cs="Arial"/>
          <w:bCs/>
          <w:sz w:val="24"/>
        </w:rPr>
        <w:sectPr>
          <w:footerReference r:id="rId3" w:type="default"/>
          <w:footerReference r:id="rId4" w:type="even"/>
          <w:pgSz w:w="11906" w:h="16838"/>
          <w:pgMar w:top="1418" w:right="1701" w:bottom="1418" w:left="1701" w:header="851" w:footer="992" w:gutter="0"/>
          <w:cols w:space="425" w:num="1"/>
          <w:docGrid w:type="lines" w:linePitch="312" w:charSpace="0"/>
        </w:sectPr>
      </w:pPr>
    </w:p>
    <w:p>
      <w:pPr>
        <w:spacing w:line="360" w:lineRule="auto"/>
        <w:jc w:val="center"/>
        <w:rPr>
          <w:rFonts w:hint="eastAsia" w:ascii="宋体" w:hAnsi="宋体"/>
          <w:b/>
          <w:bCs/>
          <w:sz w:val="30"/>
        </w:rPr>
      </w:pPr>
      <w:r>
        <w:rPr>
          <w:rFonts w:hint="eastAsia" w:ascii="宋体" w:hAnsi="宋体"/>
          <w:b/>
          <w:bCs/>
          <w:sz w:val="30"/>
        </w:rPr>
        <w:t>目    录</w:t>
      </w:r>
    </w:p>
    <w:p>
      <w:pPr>
        <w:pStyle w:val="20"/>
        <w:tabs>
          <w:tab w:val="right" w:leader="dot" w:pos="8494"/>
        </w:tabs>
        <w:spacing w:line="360" w:lineRule="auto"/>
        <w:rPr>
          <w:rFonts w:hint="eastAsia" w:ascii="宋体" w:hAnsi="宋体"/>
          <w:sz w:val="28"/>
        </w:rPr>
      </w:pPr>
      <w:r>
        <w:rPr>
          <w:rFonts w:hint="eastAsia" w:ascii="宋体" w:hAnsi="宋体"/>
          <w:sz w:val="28"/>
        </w:rPr>
        <w:fldChar w:fldCharType="begin"/>
      </w:r>
      <w:r>
        <w:rPr>
          <w:rFonts w:hint="eastAsia" w:ascii="宋体" w:hAnsi="宋体"/>
          <w:sz w:val="28"/>
        </w:rPr>
        <w:instrText xml:space="preserve"> TOC \o "1-2" \h \z </w:instrText>
      </w:r>
      <w:r>
        <w:rPr>
          <w:rFonts w:hint="eastAsia" w:ascii="宋体" w:hAnsi="宋体"/>
          <w:sz w:val="28"/>
        </w:rPr>
        <w:fldChar w:fldCharType="separate"/>
      </w:r>
      <w:r>
        <w:fldChar w:fldCharType="begin"/>
      </w:r>
      <w:r>
        <w:instrText xml:space="preserve"> HYPERLINK \l "_Toc124325885" </w:instrText>
      </w:r>
      <w:r>
        <w:fldChar w:fldCharType="separate"/>
      </w:r>
      <w:r>
        <w:rPr>
          <w:rStyle w:val="32"/>
          <w:rFonts w:hint="eastAsia" w:ascii="宋体" w:hAnsi="宋体"/>
          <w:sz w:val="28"/>
          <w:szCs w:val="32"/>
        </w:rPr>
        <w:t>一、基金托管协议当事人</w:t>
      </w:r>
      <w:r>
        <w:rPr>
          <w:rFonts w:hint="eastAsia" w:ascii="宋体" w:hAnsi="宋体"/>
          <w:sz w:val="28"/>
        </w:rPr>
        <w:tab/>
      </w:r>
      <w:r>
        <w:rPr>
          <w:rFonts w:hint="eastAsia" w:ascii="宋体" w:hAnsi="宋体"/>
          <w:sz w:val="28"/>
        </w:rPr>
        <w:t>1-</w:t>
      </w:r>
      <w:r>
        <w:rPr>
          <w:rFonts w:hint="eastAsia" w:ascii="宋体" w:hAnsi="宋体"/>
          <w:sz w:val="28"/>
        </w:rPr>
        <w:fldChar w:fldCharType="begin"/>
      </w:r>
      <w:r>
        <w:rPr>
          <w:rFonts w:hint="eastAsia" w:ascii="宋体" w:hAnsi="宋体"/>
          <w:sz w:val="28"/>
        </w:rPr>
        <w:instrText xml:space="preserve"> PAGEREF _Toc124325885 \h </w:instrText>
      </w:r>
      <w:r>
        <w:rPr>
          <w:rFonts w:hint="eastAsia" w:ascii="宋体" w:hAnsi="宋体"/>
          <w:sz w:val="28"/>
        </w:rPr>
        <w:fldChar w:fldCharType="separate"/>
      </w:r>
      <w:r>
        <w:rPr>
          <w:rFonts w:hint="eastAsia" w:ascii="宋体" w:hAnsi="宋体"/>
          <w:sz w:val="28"/>
        </w:rPr>
        <w:t>1</w:t>
      </w:r>
      <w:r>
        <w:rPr>
          <w:rFonts w:hint="eastAsia" w:ascii="宋体" w:hAnsi="宋体"/>
          <w:sz w:val="28"/>
        </w:rPr>
        <w:fldChar w:fldCharType="end"/>
      </w:r>
      <w:r>
        <w:rPr>
          <w:rFonts w:hint="eastAsia" w:ascii="宋体" w:hAnsi="宋体"/>
          <w:sz w:val="28"/>
        </w:rPr>
        <w:fldChar w:fldCharType="end"/>
      </w:r>
    </w:p>
    <w:p>
      <w:pPr>
        <w:pStyle w:val="20"/>
        <w:tabs>
          <w:tab w:val="right" w:leader="dot" w:pos="8494"/>
        </w:tabs>
        <w:spacing w:line="360" w:lineRule="auto"/>
        <w:rPr>
          <w:rFonts w:hint="eastAsia" w:ascii="宋体" w:hAnsi="宋体"/>
          <w:sz w:val="28"/>
        </w:rPr>
      </w:pPr>
      <w:r>
        <w:fldChar w:fldCharType="begin"/>
      </w:r>
      <w:r>
        <w:instrText xml:space="preserve"> HYPERLINK \l "_Toc124325886" </w:instrText>
      </w:r>
      <w:r>
        <w:fldChar w:fldCharType="separate"/>
      </w:r>
      <w:r>
        <w:rPr>
          <w:rStyle w:val="32"/>
          <w:rFonts w:hint="eastAsia" w:ascii="宋体" w:hAnsi="宋体"/>
          <w:sz w:val="28"/>
          <w:szCs w:val="32"/>
        </w:rPr>
        <w:t>二、基金托管协议的依据、目的和原则</w:t>
      </w:r>
      <w:r>
        <w:rPr>
          <w:rFonts w:hint="eastAsia" w:ascii="宋体" w:hAnsi="宋体"/>
          <w:sz w:val="28"/>
        </w:rPr>
        <w:tab/>
      </w:r>
      <w:r>
        <w:rPr>
          <w:rFonts w:hint="eastAsia" w:ascii="宋体" w:hAnsi="宋体"/>
          <w:sz w:val="28"/>
        </w:rPr>
        <w:t>2-</w:t>
      </w:r>
      <w:r>
        <w:rPr>
          <w:rFonts w:hint="eastAsia" w:ascii="宋体" w:hAnsi="宋体"/>
          <w:sz w:val="28"/>
        </w:rPr>
        <w:fldChar w:fldCharType="begin"/>
      </w:r>
      <w:r>
        <w:rPr>
          <w:rFonts w:hint="eastAsia" w:ascii="宋体" w:hAnsi="宋体"/>
          <w:sz w:val="28"/>
        </w:rPr>
        <w:instrText xml:space="preserve"> PAGEREF _Toc124325886 \h </w:instrText>
      </w:r>
      <w:r>
        <w:rPr>
          <w:rFonts w:hint="eastAsia" w:ascii="宋体" w:hAnsi="宋体"/>
          <w:sz w:val="28"/>
        </w:rPr>
        <w:fldChar w:fldCharType="separate"/>
      </w:r>
      <w:r>
        <w:rPr>
          <w:rFonts w:hint="eastAsia" w:ascii="宋体" w:hAnsi="宋体"/>
          <w:sz w:val="28"/>
        </w:rPr>
        <w:t>1</w:t>
      </w:r>
      <w:r>
        <w:rPr>
          <w:rFonts w:hint="eastAsia" w:ascii="宋体" w:hAnsi="宋体"/>
          <w:sz w:val="28"/>
        </w:rPr>
        <w:fldChar w:fldCharType="end"/>
      </w:r>
      <w:r>
        <w:rPr>
          <w:rFonts w:hint="eastAsia" w:ascii="宋体" w:hAnsi="宋体"/>
          <w:sz w:val="28"/>
        </w:rPr>
        <w:fldChar w:fldCharType="end"/>
      </w:r>
    </w:p>
    <w:p>
      <w:pPr>
        <w:pStyle w:val="20"/>
        <w:tabs>
          <w:tab w:val="right" w:leader="dot" w:pos="8494"/>
        </w:tabs>
        <w:spacing w:line="360" w:lineRule="auto"/>
        <w:rPr>
          <w:rFonts w:hint="eastAsia" w:ascii="宋体" w:hAnsi="宋体"/>
          <w:sz w:val="28"/>
        </w:rPr>
      </w:pPr>
      <w:r>
        <w:fldChar w:fldCharType="begin"/>
      </w:r>
      <w:r>
        <w:instrText xml:space="preserve"> HYPERLINK \l "_Toc124325887" </w:instrText>
      </w:r>
      <w:r>
        <w:fldChar w:fldCharType="separate"/>
      </w:r>
      <w:r>
        <w:rPr>
          <w:rStyle w:val="32"/>
          <w:rFonts w:hint="eastAsia" w:ascii="宋体" w:hAnsi="宋体"/>
          <w:sz w:val="28"/>
          <w:szCs w:val="32"/>
        </w:rPr>
        <w:t>三、基金托管人对基金管理人的业务监督和核查</w:t>
      </w:r>
      <w:r>
        <w:rPr>
          <w:rFonts w:hint="eastAsia" w:ascii="宋体" w:hAnsi="宋体"/>
          <w:sz w:val="28"/>
        </w:rPr>
        <w:tab/>
      </w:r>
      <w:r>
        <w:rPr>
          <w:rFonts w:hint="eastAsia" w:ascii="宋体" w:hAnsi="宋体"/>
          <w:sz w:val="28"/>
        </w:rPr>
        <w:t>3-</w:t>
      </w:r>
      <w:r>
        <w:rPr>
          <w:rFonts w:hint="eastAsia" w:ascii="宋体" w:hAnsi="宋体"/>
          <w:sz w:val="28"/>
        </w:rPr>
        <w:fldChar w:fldCharType="begin"/>
      </w:r>
      <w:r>
        <w:rPr>
          <w:rFonts w:hint="eastAsia" w:ascii="宋体" w:hAnsi="宋体"/>
          <w:sz w:val="28"/>
        </w:rPr>
        <w:instrText xml:space="preserve"> PAGEREF _Toc124325887 \h </w:instrText>
      </w:r>
      <w:r>
        <w:rPr>
          <w:rFonts w:hint="eastAsia" w:ascii="宋体" w:hAnsi="宋体"/>
          <w:sz w:val="28"/>
        </w:rPr>
        <w:fldChar w:fldCharType="separate"/>
      </w:r>
      <w:r>
        <w:rPr>
          <w:rFonts w:hint="eastAsia" w:ascii="宋体" w:hAnsi="宋体"/>
          <w:sz w:val="28"/>
        </w:rPr>
        <w:t>1</w:t>
      </w:r>
      <w:r>
        <w:rPr>
          <w:rFonts w:hint="eastAsia" w:ascii="宋体" w:hAnsi="宋体"/>
          <w:sz w:val="28"/>
        </w:rPr>
        <w:fldChar w:fldCharType="end"/>
      </w:r>
      <w:r>
        <w:rPr>
          <w:rFonts w:hint="eastAsia" w:ascii="宋体" w:hAnsi="宋体"/>
          <w:sz w:val="28"/>
        </w:rPr>
        <w:fldChar w:fldCharType="end"/>
      </w:r>
    </w:p>
    <w:p>
      <w:pPr>
        <w:pStyle w:val="20"/>
        <w:tabs>
          <w:tab w:val="right" w:leader="dot" w:pos="8494"/>
        </w:tabs>
        <w:spacing w:line="360" w:lineRule="auto"/>
        <w:rPr>
          <w:rFonts w:hint="eastAsia" w:ascii="宋体" w:hAnsi="宋体"/>
          <w:sz w:val="28"/>
        </w:rPr>
      </w:pPr>
      <w:r>
        <w:fldChar w:fldCharType="begin"/>
      </w:r>
      <w:r>
        <w:instrText xml:space="preserve"> HYPERLINK \l "_Toc124325888" </w:instrText>
      </w:r>
      <w:r>
        <w:fldChar w:fldCharType="separate"/>
      </w:r>
      <w:r>
        <w:rPr>
          <w:rStyle w:val="32"/>
          <w:rFonts w:hint="eastAsia" w:ascii="宋体" w:hAnsi="宋体"/>
          <w:sz w:val="28"/>
          <w:szCs w:val="32"/>
        </w:rPr>
        <w:t>四、基金管理人对基金托管人的业务核查</w:t>
      </w:r>
      <w:r>
        <w:rPr>
          <w:rFonts w:hint="eastAsia" w:ascii="宋体" w:hAnsi="宋体"/>
          <w:sz w:val="28"/>
        </w:rPr>
        <w:tab/>
      </w:r>
      <w:r>
        <w:rPr>
          <w:rFonts w:hint="eastAsia" w:ascii="宋体" w:hAnsi="宋体"/>
          <w:sz w:val="28"/>
        </w:rPr>
        <w:t>4-</w:t>
      </w:r>
      <w:r>
        <w:rPr>
          <w:rFonts w:hint="eastAsia" w:ascii="宋体" w:hAnsi="宋体"/>
          <w:sz w:val="28"/>
        </w:rPr>
        <w:fldChar w:fldCharType="begin"/>
      </w:r>
      <w:r>
        <w:rPr>
          <w:rFonts w:hint="eastAsia" w:ascii="宋体" w:hAnsi="宋体"/>
          <w:sz w:val="28"/>
        </w:rPr>
        <w:instrText xml:space="preserve"> PAGEREF _Toc124325888 \h </w:instrText>
      </w:r>
      <w:r>
        <w:rPr>
          <w:rFonts w:hint="eastAsia" w:ascii="宋体" w:hAnsi="宋体"/>
          <w:sz w:val="28"/>
        </w:rPr>
        <w:fldChar w:fldCharType="separate"/>
      </w:r>
      <w:r>
        <w:rPr>
          <w:rFonts w:hint="eastAsia" w:ascii="宋体" w:hAnsi="宋体"/>
          <w:sz w:val="28"/>
        </w:rPr>
        <w:t>1</w:t>
      </w:r>
      <w:r>
        <w:rPr>
          <w:rFonts w:hint="eastAsia" w:ascii="宋体" w:hAnsi="宋体"/>
          <w:sz w:val="28"/>
        </w:rPr>
        <w:fldChar w:fldCharType="end"/>
      </w:r>
      <w:r>
        <w:rPr>
          <w:rFonts w:hint="eastAsia" w:ascii="宋体" w:hAnsi="宋体"/>
          <w:sz w:val="28"/>
        </w:rPr>
        <w:fldChar w:fldCharType="end"/>
      </w:r>
    </w:p>
    <w:p>
      <w:pPr>
        <w:pStyle w:val="20"/>
        <w:tabs>
          <w:tab w:val="right" w:leader="dot" w:pos="8494"/>
        </w:tabs>
        <w:spacing w:line="360" w:lineRule="auto"/>
        <w:rPr>
          <w:rFonts w:hint="eastAsia" w:ascii="宋体" w:hAnsi="宋体"/>
          <w:sz w:val="28"/>
        </w:rPr>
      </w:pPr>
      <w:r>
        <w:fldChar w:fldCharType="begin"/>
      </w:r>
      <w:r>
        <w:instrText xml:space="preserve"> HYPERLINK \l "_Toc124325889" </w:instrText>
      </w:r>
      <w:r>
        <w:fldChar w:fldCharType="separate"/>
      </w:r>
      <w:r>
        <w:rPr>
          <w:rStyle w:val="32"/>
          <w:rFonts w:hint="eastAsia" w:ascii="宋体" w:hAnsi="宋体"/>
          <w:sz w:val="28"/>
          <w:szCs w:val="32"/>
        </w:rPr>
        <w:t>五、基金财产的保管</w:t>
      </w:r>
      <w:r>
        <w:rPr>
          <w:rFonts w:hint="eastAsia" w:ascii="宋体" w:hAnsi="宋体"/>
          <w:sz w:val="28"/>
        </w:rPr>
        <w:tab/>
      </w:r>
      <w:r>
        <w:rPr>
          <w:rFonts w:hint="eastAsia" w:ascii="宋体" w:hAnsi="宋体"/>
          <w:sz w:val="28"/>
        </w:rPr>
        <w:t>5-</w:t>
      </w:r>
      <w:r>
        <w:rPr>
          <w:rFonts w:hint="eastAsia" w:ascii="宋体" w:hAnsi="宋体"/>
          <w:sz w:val="28"/>
        </w:rPr>
        <w:fldChar w:fldCharType="begin"/>
      </w:r>
      <w:r>
        <w:rPr>
          <w:rFonts w:hint="eastAsia" w:ascii="宋体" w:hAnsi="宋体"/>
          <w:sz w:val="28"/>
        </w:rPr>
        <w:instrText xml:space="preserve"> PAGEREF _Toc124325889 \h </w:instrText>
      </w:r>
      <w:r>
        <w:rPr>
          <w:rFonts w:hint="eastAsia" w:ascii="宋体" w:hAnsi="宋体"/>
          <w:sz w:val="28"/>
        </w:rPr>
        <w:fldChar w:fldCharType="separate"/>
      </w:r>
      <w:r>
        <w:rPr>
          <w:rFonts w:hint="eastAsia" w:ascii="宋体" w:hAnsi="宋体"/>
          <w:sz w:val="28"/>
        </w:rPr>
        <w:t>1</w:t>
      </w:r>
      <w:r>
        <w:rPr>
          <w:rFonts w:hint="eastAsia" w:ascii="宋体" w:hAnsi="宋体"/>
          <w:sz w:val="28"/>
        </w:rPr>
        <w:fldChar w:fldCharType="end"/>
      </w:r>
      <w:r>
        <w:rPr>
          <w:rFonts w:hint="eastAsia" w:ascii="宋体" w:hAnsi="宋体"/>
          <w:sz w:val="28"/>
        </w:rPr>
        <w:fldChar w:fldCharType="end"/>
      </w:r>
    </w:p>
    <w:p>
      <w:pPr>
        <w:pStyle w:val="20"/>
        <w:tabs>
          <w:tab w:val="right" w:leader="dot" w:pos="8494"/>
        </w:tabs>
        <w:spacing w:line="360" w:lineRule="auto"/>
        <w:rPr>
          <w:rFonts w:hint="eastAsia" w:ascii="宋体" w:hAnsi="宋体"/>
          <w:sz w:val="28"/>
        </w:rPr>
      </w:pPr>
      <w:r>
        <w:fldChar w:fldCharType="begin"/>
      </w:r>
      <w:r>
        <w:instrText xml:space="preserve"> HYPERLINK \l "_Toc124325890" </w:instrText>
      </w:r>
      <w:r>
        <w:fldChar w:fldCharType="separate"/>
      </w:r>
      <w:r>
        <w:rPr>
          <w:rStyle w:val="32"/>
          <w:rFonts w:hint="eastAsia" w:ascii="宋体" w:hAnsi="宋体"/>
          <w:sz w:val="28"/>
          <w:szCs w:val="32"/>
        </w:rPr>
        <w:t>六、指令的发送、确认及执行</w:t>
      </w:r>
      <w:r>
        <w:rPr>
          <w:rFonts w:hint="eastAsia" w:ascii="宋体" w:hAnsi="宋体"/>
          <w:sz w:val="28"/>
        </w:rPr>
        <w:tab/>
      </w:r>
      <w:r>
        <w:rPr>
          <w:rFonts w:hint="eastAsia" w:ascii="宋体" w:hAnsi="宋体"/>
          <w:sz w:val="28"/>
        </w:rPr>
        <w:t>6-</w:t>
      </w:r>
      <w:r>
        <w:rPr>
          <w:rFonts w:hint="eastAsia" w:ascii="宋体" w:hAnsi="宋体"/>
          <w:sz w:val="28"/>
        </w:rPr>
        <w:fldChar w:fldCharType="begin"/>
      </w:r>
      <w:r>
        <w:rPr>
          <w:rFonts w:hint="eastAsia" w:ascii="宋体" w:hAnsi="宋体"/>
          <w:sz w:val="28"/>
        </w:rPr>
        <w:instrText xml:space="preserve"> PAGEREF _Toc124325890 \h </w:instrText>
      </w:r>
      <w:r>
        <w:rPr>
          <w:rFonts w:hint="eastAsia" w:ascii="宋体" w:hAnsi="宋体"/>
          <w:sz w:val="28"/>
        </w:rPr>
        <w:fldChar w:fldCharType="separate"/>
      </w:r>
      <w:r>
        <w:rPr>
          <w:rFonts w:hint="eastAsia" w:ascii="宋体" w:hAnsi="宋体"/>
          <w:sz w:val="28"/>
        </w:rPr>
        <w:t>1</w:t>
      </w:r>
      <w:r>
        <w:rPr>
          <w:rFonts w:hint="eastAsia" w:ascii="宋体" w:hAnsi="宋体"/>
          <w:sz w:val="28"/>
        </w:rPr>
        <w:fldChar w:fldCharType="end"/>
      </w:r>
      <w:r>
        <w:rPr>
          <w:rFonts w:hint="eastAsia" w:ascii="宋体" w:hAnsi="宋体"/>
          <w:sz w:val="28"/>
        </w:rPr>
        <w:fldChar w:fldCharType="end"/>
      </w:r>
    </w:p>
    <w:p>
      <w:pPr>
        <w:pStyle w:val="20"/>
        <w:tabs>
          <w:tab w:val="right" w:leader="dot" w:pos="8494"/>
        </w:tabs>
        <w:spacing w:line="360" w:lineRule="auto"/>
        <w:rPr>
          <w:rFonts w:hint="eastAsia" w:ascii="宋体" w:hAnsi="宋体"/>
          <w:sz w:val="28"/>
        </w:rPr>
      </w:pPr>
      <w:r>
        <w:fldChar w:fldCharType="begin"/>
      </w:r>
      <w:r>
        <w:instrText xml:space="preserve"> HYPERLINK \l "_Toc124325891" </w:instrText>
      </w:r>
      <w:r>
        <w:fldChar w:fldCharType="separate"/>
      </w:r>
      <w:r>
        <w:rPr>
          <w:rStyle w:val="32"/>
          <w:rFonts w:hint="eastAsia" w:ascii="宋体" w:hAnsi="宋体"/>
          <w:sz w:val="28"/>
          <w:szCs w:val="32"/>
        </w:rPr>
        <w:t>七、交易及清算交收安排</w:t>
      </w:r>
      <w:r>
        <w:rPr>
          <w:rFonts w:hint="eastAsia" w:ascii="宋体" w:hAnsi="宋体"/>
          <w:sz w:val="28"/>
        </w:rPr>
        <w:tab/>
      </w:r>
      <w:r>
        <w:rPr>
          <w:rFonts w:hint="eastAsia" w:ascii="宋体" w:hAnsi="宋体"/>
          <w:sz w:val="28"/>
        </w:rPr>
        <w:t>7-</w:t>
      </w:r>
      <w:r>
        <w:rPr>
          <w:rFonts w:hint="eastAsia" w:ascii="宋体" w:hAnsi="宋体"/>
          <w:sz w:val="28"/>
        </w:rPr>
        <w:fldChar w:fldCharType="begin"/>
      </w:r>
      <w:r>
        <w:rPr>
          <w:rFonts w:hint="eastAsia" w:ascii="宋体" w:hAnsi="宋体"/>
          <w:sz w:val="28"/>
        </w:rPr>
        <w:instrText xml:space="preserve"> PAGEREF _Toc124325891 \h </w:instrText>
      </w:r>
      <w:r>
        <w:rPr>
          <w:rFonts w:hint="eastAsia" w:ascii="宋体" w:hAnsi="宋体"/>
          <w:sz w:val="28"/>
        </w:rPr>
        <w:fldChar w:fldCharType="separate"/>
      </w:r>
      <w:r>
        <w:rPr>
          <w:rFonts w:hint="eastAsia" w:ascii="宋体" w:hAnsi="宋体"/>
          <w:sz w:val="28"/>
        </w:rPr>
        <w:t>1</w:t>
      </w:r>
      <w:r>
        <w:rPr>
          <w:rFonts w:hint="eastAsia" w:ascii="宋体" w:hAnsi="宋体"/>
          <w:sz w:val="28"/>
        </w:rPr>
        <w:fldChar w:fldCharType="end"/>
      </w:r>
      <w:r>
        <w:rPr>
          <w:rFonts w:hint="eastAsia" w:ascii="宋体" w:hAnsi="宋体"/>
          <w:sz w:val="28"/>
        </w:rPr>
        <w:fldChar w:fldCharType="end"/>
      </w:r>
    </w:p>
    <w:p>
      <w:pPr>
        <w:pStyle w:val="20"/>
        <w:tabs>
          <w:tab w:val="right" w:leader="dot" w:pos="8494"/>
        </w:tabs>
        <w:spacing w:line="360" w:lineRule="auto"/>
        <w:rPr>
          <w:rFonts w:hint="eastAsia" w:ascii="宋体" w:hAnsi="宋体"/>
          <w:sz w:val="28"/>
        </w:rPr>
      </w:pPr>
      <w:r>
        <w:fldChar w:fldCharType="begin"/>
      </w:r>
      <w:r>
        <w:instrText xml:space="preserve"> HYPERLINK \l "_Toc124325892" </w:instrText>
      </w:r>
      <w:r>
        <w:fldChar w:fldCharType="separate"/>
      </w:r>
      <w:r>
        <w:rPr>
          <w:rStyle w:val="32"/>
          <w:rFonts w:hint="eastAsia" w:ascii="宋体" w:hAnsi="宋体"/>
          <w:sz w:val="28"/>
          <w:szCs w:val="32"/>
        </w:rPr>
        <w:t>八、基金资产净值计算和会计核算</w:t>
      </w:r>
      <w:r>
        <w:rPr>
          <w:rFonts w:hint="eastAsia" w:ascii="宋体" w:hAnsi="宋体"/>
          <w:sz w:val="28"/>
        </w:rPr>
        <w:tab/>
      </w:r>
      <w:r>
        <w:rPr>
          <w:rFonts w:hint="eastAsia" w:ascii="宋体" w:hAnsi="宋体"/>
          <w:sz w:val="28"/>
        </w:rPr>
        <w:t>8-</w:t>
      </w:r>
      <w:r>
        <w:rPr>
          <w:rFonts w:hint="eastAsia" w:ascii="宋体" w:hAnsi="宋体"/>
          <w:sz w:val="28"/>
        </w:rPr>
        <w:fldChar w:fldCharType="begin"/>
      </w:r>
      <w:r>
        <w:rPr>
          <w:rFonts w:hint="eastAsia" w:ascii="宋体" w:hAnsi="宋体"/>
          <w:sz w:val="28"/>
        </w:rPr>
        <w:instrText xml:space="preserve"> PAGEREF _Toc124325892 \h </w:instrText>
      </w:r>
      <w:r>
        <w:rPr>
          <w:rFonts w:hint="eastAsia" w:ascii="宋体" w:hAnsi="宋体"/>
          <w:sz w:val="28"/>
        </w:rPr>
        <w:fldChar w:fldCharType="separate"/>
      </w:r>
      <w:r>
        <w:rPr>
          <w:rFonts w:hint="eastAsia" w:ascii="宋体" w:hAnsi="宋体"/>
          <w:sz w:val="28"/>
        </w:rPr>
        <w:t>1</w:t>
      </w:r>
      <w:r>
        <w:rPr>
          <w:rFonts w:hint="eastAsia" w:ascii="宋体" w:hAnsi="宋体"/>
          <w:sz w:val="28"/>
        </w:rPr>
        <w:fldChar w:fldCharType="end"/>
      </w:r>
      <w:r>
        <w:rPr>
          <w:rFonts w:hint="eastAsia" w:ascii="宋体" w:hAnsi="宋体"/>
          <w:sz w:val="28"/>
        </w:rPr>
        <w:fldChar w:fldCharType="end"/>
      </w:r>
    </w:p>
    <w:p>
      <w:pPr>
        <w:pStyle w:val="20"/>
        <w:tabs>
          <w:tab w:val="right" w:leader="dot" w:pos="8494"/>
        </w:tabs>
        <w:spacing w:line="360" w:lineRule="auto"/>
        <w:rPr>
          <w:rFonts w:hint="eastAsia" w:ascii="宋体" w:hAnsi="宋体"/>
          <w:sz w:val="28"/>
        </w:rPr>
      </w:pPr>
      <w:r>
        <w:fldChar w:fldCharType="begin"/>
      </w:r>
      <w:r>
        <w:instrText xml:space="preserve"> HYPERLINK \l "_Toc124325893" </w:instrText>
      </w:r>
      <w:r>
        <w:fldChar w:fldCharType="separate"/>
      </w:r>
      <w:r>
        <w:rPr>
          <w:rStyle w:val="32"/>
          <w:rFonts w:hint="eastAsia" w:ascii="宋体" w:hAnsi="宋体"/>
          <w:sz w:val="28"/>
          <w:szCs w:val="32"/>
        </w:rPr>
        <w:t>九、基金收益分配</w:t>
      </w:r>
      <w:r>
        <w:rPr>
          <w:rFonts w:hint="eastAsia" w:ascii="宋体" w:hAnsi="宋体"/>
          <w:sz w:val="28"/>
        </w:rPr>
        <w:tab/>
      </w:r>
      <w:r>
        <w:rPr>
          <w:rFonts w:hint="eastAsia" w:ascii="宋体" w:hAnsi="宋体"/>
          <w:sz w:val="28"/>
        </w:rPr>
        <w:t>9-</w:t>
      </w:r>
      <w:r>
        <w:rPr>
          <w:rFonts w:hint="eastAsia" w:ascii="宋体" w:hAnsi="宋体"/>
          <w:sz w:val="28"/>
        </w:rPr>
        <w:fldChar w:fldCharType="begin"/>
      </w:r>
      <w:r>
        <w:rPr>
          <w:rFonts w:hint="eastAsia" w:ascii="宋体" w:hAnsi="宋体"/>
          <w:sz w:val="28"/>
        </w:rPr>
        <w:instrText xml:space="preserve"> PAGEREF _Toc124325893 \h </w:instrText>
      </w:r>
      <w:r>
        <w:rPr>
          <w:rFonts w:hint="eastAsia" w:ascii="宋体" w:hAnsi="宋体"/>
          <w:sz w:val="28"/>
        </w:rPr>
        <w:fldChar w:fldCharType="separate"/>
      </w:r>
      <w:r>
        <w:rPr>
          <w:rFonts w:hint="eastAsia" w:ascii="宋体" w:hAnsi="宋体"/>
          <w:sz w:val="28"/>
        </w:rPr>
        <w:t>1</w:t>
      </w:r>
      <w:r>
        <w:rPr>
          <w:rFonts w:hint="eastAsia" w:ascii="宋体" w:hAnsi="宋体"/>
          <w:sz w:val="28"/>
        </w:rPr>
        <w:fldChar w:fldCharType="end"/>
      </w:r>
      <w:r>
        <w:rPr>
          <w:rFonts w:hint="eastAsia" w:ascii="宋体" w:hAnsi="宋体"/>
          <w:sz w:val="28"/>
        </w:rPr>
        <w:fldChar w:fldCharType="end"/>
      </w:r>
    </w:p>
    <w:p>
      <w:pPr>
        <w:pStyle w:val="20"/>
        <w:tabs>
          <w:tab w:val="right" w:leader="dot" w:pos="8494"/>
        </w:tabs>
        <w:spacing w:line="360" w:lineRule="auto"/>
        <w:rPr>
          <w:rFonts w:hint="eastAsia" w:ascii="宋体" w:hAnsi="宋体"/>
          <w:sz w:val="28"/>
        </w:rPr>
      </w:pPr>
      <w:r>
        <w:fldChar w:fldCharType="begin"/>
      </w:r>
      <w:r>
        <w:instrText xml:space="preserve"> HYPERLINK \l "_Toc124325894" </w:instrText>
      </w:r>
      <w:r>
        <w:fldChar w:fldCharType="separate"/>
      </w:r>
      <w:r>
        <w:rPr>
          <w:rStyle w:val="32"/>
          <w:rFonts w:hint="eastAsia" w:ascii="宋体" w:hAnsi="宋体"/>
          <w:sz w:val="28"/>
          <w:szCs w:val="32"/>
        </w:rPr>
        <w:t>十、基金信息披露</w:t>
      </w:r>
      <w:r>
        <w:rPr>
          <w:rFonts w:hint="eastAsia" w:ascii="宋体" w:hAnsi="宋体"/>
          <w:sz w:val="28"/>
        </w:rPr>
        <w:tab/>
      </w:r>
      <w:r>
        <w:rPr>
          <w:rFonts w:hint="eastAsia" w:ascii="宋体" w:hAnsi="宋体"/>
          <w:sz w:val="28"/>
        </w:rPr>
        <w:t>10-</w:t>
      </w:r>
      <w:r>
        <w:rPr>
          <w:rFonts w:hint="eastAsia" w:ascii="宋体" w:hAnsi="宋体"/>
          <w:sz w:val="28"/>
        </w:rPr>
        <w:fldChar w:fldCharType="begin"/>
      </w:r>
      <w:r>
        <w:rPr>
          <w:rFonts w:hint="eastAsia" w:ascii="宋体" w:hAnsi="宋体"/>
          <w:sz w:val="28"/>
        </w:rPr>
        <w:instrText xml:space="preserve"> PAGEREF _Toc124325894 \h </w:instrText>
      </w:r>
      <w:r>
        <w:rPr>
          <w:rFonts w:hint="eastAsia" w:ascii="宋体" w:hAnsi="宋体"/>
          <w:sz w:val="28"/>
        </w:rPr>
        <w:fldChar w:fldCharType="separate"/>
      </w:r>
      <w:r>
        <w:rPr>
          <w:rFonts w:hint="eastAsia" w:ascii="宋体" w:hAnsi="宋体"/>
          <w:sz w:val="28"/>
        </w:rPr>
        <w:t>1</w:t>
      </w:r>
      <w:r>
        <w:rPr>
          <w:rFonts w:hint="eastAsia" w:ascii="宋体" w:hAnsi="宋体"/>
          <w:sz w:val="28"/>
        </w:rPr>
        <w:fldChar w:fldCharType="end"/>
      </w:r>
      <w:r>
        <w:rPr>
          <w:rFonts w:hint="eastAsia" w:ascii="宋体" w:hAnsi="宋体"/>
          <w:sz w:val="28"/>
        </w:rPr>
        <w:fldChar w:fldCharType="end"/>
      </w:r>
    </w:p>
    <w:p>
      <w:pPr>
        <w:pStyle w:val="20"/>
        <w:tabs>
          <w:tab w:val="right" w:leader="dot" w:pos="8494"/>
        </w:tabs>
        <w:spacing w:line="360" w:lineRule="auto"/>
        <w:rPr>
          <w:rFonts w:hint="eastAsia" w:ascii="宋体" w:hAnsi="宋体"/>
          <w:sz w:val="28"/>
        </w:rPr>
      </w:pPr>
      <w:r>
        <w:fldChar w:fldCharType="begin"/>
      </w:r>
      <w:r>
        <w:instrText xml:space="preserve"> HYPERLINK \l "_Toc124325895" </w:instrText>
      </w:r>
      <w:r>
        <w:fldChar w:fldCharType="separate"/>
      </w:r>
      <w:r>
        <w:rPr>
          <w:rStyle w:val="32"/>
          <w:rFonts w:hint="eastAsia" w:ascii="宋体" w:hAnsi="宋体"/>
          <w:sz w:val="28"/>
          <w:szCs w:val="32"/>
        </w:rPr>
        <w:t>十一、基金费用</w:t>
      </w:r>
      <w:r>
        <w:rPr>
          <w:rFonts w:hint="eastAsia" w:ascii="宋体" w:hAnsi="宋体"/>
          <w:sz w:val="28"/>
        </w:rPr>
        <w:tab/>
      </w:r>
      <w:r>
        <w:rPr>
          <w:rFonts w:hint="eastAsia" w:ascii="宋体" w:hAnsi="宋体"/>
          <w:sz w:val="28"/>
        </w:rPr>
        <w:t>11-</w:t>
      </w:r>
      <w:r>
        <w:rPr>
          <w:rFonts w:hint="eastAsia" w:ascii="宋体" w:hAnsi="宋体"/>
          <w:sz w:val="28"/>
        </w:rPr>
        <w:fldChar w:fldCharType="begin"/>
      </w:r>
      <w:r>
        <w:rPr>
          <w:rFonts w:hint="eastAsia" w:ascii="宋体" w:hAnsi="宋体"/>
          <w:sz w:val="28"/>
        </w:rPr>
        <w:instrText xml:space="preserve"> PAGEREF _Toc124325895 \h </w:instrText>
      </w:r>
      <w:r>
        <w:rPr>
          <w:rFonts w:hint="eastAsia" w:ascii="宋体" w:hAnsi="宋体"/>
          <w:sz w:val="28"/>
        </w:rPr>
        <w:fldChar w:fldCharType="separate"/>
      </w:r>
      <w:r>
        <w:rPr>
          <w:rFonts w:hint="eastAsia" w:ascii="宋体" w:hAnsi="宋体"/>
          <w:sz w:val="28"/>
        </w:rPr>
        <w:t>1</w:t>
      </w:r>
      <w:r>
        <w:rPr>
          <w:rFonts w:hint="eastAsia" w:ascii="宋体" w:hAnsi="宋体"/>
          <w:sz w:val="28"/>
        </w:rPr>
        <w:fldChar w:fldCharType="end"/>
      </w:r>
      <w:r>
        <w:rPr>
          <w:rFonts w:hint="eastAsia" w:ascii="宋体" w:hAnsi="宋体"/>
          <w:sz w:val="28"/>
        </w:rPr>
        <w:fldChar w:fldCharType="end"/>
      </w:r>
    </w:p>
    <w:p>
      <w:pPr>
        <w:pStyle w:val="20"/>
        <w:tabs>
          <w:tab w:val="right" w:leader="dot" w:pos="8494"/>
        </w:tabs>
        <w:spacing w:line="360" w:lineRule="auto"/>
        <w:rPr>
          <w:rFonts w:hint="eastAsia" w:ascii="宋体" w:hAnsi="宋体"/>
          <w:sz w:val="28"/>
        </w:rPr>
      </w:pPr>
      <w:r>
        <w:fldChar w:fldCharType="begin"/>
      </w:r>
      <w:r>
        <w:instrText xml:space="preserve"> HYPERLINK \l "_Toc124325896" </w:instrText>
      </w:r>
      <w:r>
        <w:fldChar w:fldCharType="separate"/>
      </w:r>
      <w:r>
        <w:rPr>
          <w:rStyle w:val="32"/>
          <w:rFonts w:hint="eastAsia" w:ascii="宋体" w:hAnsi="宋体"/>
          <w:sz w:val="28"/>
          <w:szCs w:val="32"/>
        </w:rPr>
        <w:t>十二、基金份额持有人名册的保管</w:t>
      </w:r>
      <w:r>
        <w:rPr>
          <w:rFonts w:hint="eastAsia" w:ascii="宋体" w:hAnsi="宋体"/>
          <w:sz w:val="28"/>
        </w:rPr>
        <w:tab/>
      </w:r>
      <w:r>
        <w:rPr>
          <w:rFonts w:hint="eastAsia" w:ascii="宋体" w:hAnsi="宋体"/>
          <w:sz w:val="28"/>
        </w:rPr>
        <w:t>12-</w:t>
      </w:r>
      <w:r>
        <w:rPr>
          <w:rFonts w:hint="eastAsia" w:ascii="宋体" w:hAnsi="宋体"/>
          <w:sz w:val="28"/>
        </w:rPr>
        <w:fldChar w:fldCharType="begin"/>
      </w:r>
      <w:r>
        <w:rPr>
          <w:rFonts w:hint="eastAsia" w:ascii="宋体" w:hAnsi="宋体"/>
          <w:sz w:val="28"/>
        </w:rPr>
        <w:instrText xml:space="preserve"> PAGEREF _Toc124325896 \h </w:instrText>
      </w:r>
      <w:r>
        <w:rPr>
          <w:rFonts w:hint="eastAsia" w:ascii="宋体" w:hAnsi="宋体"/>
          <w:sz w:val="28"/>
        </w:rPr>
        <w:fldChar w:fldCharType="separate"/>
      </w:r>
      <w:r>
        <w:rPr>
          <w:rFonts w:hint="eastAsia" w:ascii="宋体" w:hAnsi="宋体"/>
          <w:sz w:val="28"/>
        </w:rPr>
        <w:t>1</w:t>
      </w:r>
      <w:r>
        <w:rPr>
          <w:rFonts w:hint="eastAsia" w:ascii="宋体" w:hAnsi="宋体"/>
          <w:sz w:val="28"/>
        </w:rPr>
        <w:fldChar w:fldCharType="end"/>
      </w:r>
      <w:r>
        <w:rPr>
          <w:rFonts w:hint="eastAsia" w:ascii="宋体" w:hAnsi="宋体"/>
          <w:sz w:val="28"/>
        </w:rPr>
        <w:fldChar w:fldCharType="end"/>
      </w:r>
    </w:p>
    <w:p>
      <w:pPr>
        <w:pStyle w:val="20"/>
        <w:tabs>
          <w:tab w:val="right" w:leader="dot" w:pos="8494"/>
        </w:tabs>
        <w:spacing w:line="360" w:lineRule="auto"/>
        <w:rPr>
          <w:rFonts w:hint="eastAsia" w:ascii="宋体" w:hAnsi="宋体"/>
          <w:sz w:val="28"/>
        </w:rPr>
      </w:pPr>
      <w:r>
        <w:fldChar w:fldCharType="begin"/>
      </w:r>
      <w:r>
        <w:instrText xml:space="preserve"> HYPERLINK \l "_Toc124325897" </w:instrText>
      </w:r>
      <w:r>
        <w:fldChar w:fldCharType="separate"/>
      </w:r>
      <w:r>
        <w:rPr>
          <w:rStyle w:val="32"/>
          <w:rFonts w:hint="eastAsia" w:ascii="宋体" w:hAnsi="宋体"/>
          <w:sz w:val="28"/>
          <w:szCs w:val="32"/>
        </w:rPr>
        <w:t>十三、基金有关文件档案的保存</w:t>
      </w:r>
      <w:r>
        <w:rPr>
          <w:rFonts w:hint="eastAsia" w:ascii="宋体" w:hAnsi="宋体"/>
          <w:sz w:val="28"/>
        </w:rPr>
        <w:tab/>
      </w:r>
      <w:r>
        <w:rPr>
          <w:rFonts w:hint="eastAsia" w:ascii="宋体" w:hAnsi="宋体"/>
          <w:sz w:val="28"/>
        </w:rPr>
        <w:t>13-</w:t>
      </w:r>
      <w:r>
        <w:rPr>
          <w:rFonts w:hint="eastAsia" w:ascii="宋体" w:hAnsi="宋体"/>
          <w:sz w:val="28"/>
        </w:rPr>
        <w:fldChar w:fldCharType="begin"/>
      </w:r>
      <w:r>
        <w:rPr>
          <w:rFonts w:hint="eastAsia" w:ascii="宋体" w:hAnsi="宋体"/>
          <w:sz w:val="28"/>
        </w:rPr>
        <w:instrText xml:space="preserve"> PAGEREF _Toc124325897 \h </w:instrText>
      </w:r>
      <w:r>
        <w:rPr>
          <w:rFonts w:hint="eastAsia" w:ascii="宋体" w:hAnsi="宋体"/>
          <w:sz w:val="28"/>
        </w:rPr>
        <w:fldChar w:fldCharType="separate"/>
      </w:r>
      <w:r>
        <w:rPr>
          <w:rFonts w:hint="eastAsia" w:ascii="宋体" w:hAnsi="宋体"/>
          <w:sz w:val="28"/>
        </w:rPr>
        <w:t>1</w:t>
      </w:r>
      <w:r>
        <w:rPr>
          <w:rFonts w:hint="eastAsia" w:ascii="宋体" w:hAnsi="宋体"/>
          <w:sz w:val="28"/>
        </w:rPr>
        <w:fldChar w:fldCharType="end"/>
      </w:r>
      <w:r>
        <w:rPr>
          <w:rFonts w:hint="eastAsia" w:ascii="宋体" w:hAnsi="宋体"/>
          <w:sz w:val="28"/>
        </w:rPr>
        <w:fldChar w:fldCharType="end"/>
      </w:r>
    </w:p>
    <w:p>
      <w:pPr>
        <w:pStyle w:val="20"/>
        <w:tabs>
          <w:tab w:val="right" w:leader="dot" w:pos="8494"/>
        </w:tabs>
        <w:spacing w:line="360" w:lineRule="auto"/>
        <w:rPr>
          <w:rFonts w:hint="eastAsia" w:ascii="宋体" w:hAnsi="宋体"/>
          <w:sz w:val="28"/>
        </w:rPr>
      </w:pPr>
      <w:r>
        <w:fldChar w:fldCharType="begin"/>
      </w:r>
      <w:r>
        <w:instrText xml:space="preserve"> HYPERLINK \l "_Toc124325898" </w:instrText>
      </w:r>
      <w:r>
        <w:fldChar w:fldCharType="separate"/>
      </w:r>
      <w:r>
        <w:rPr>
          <w:rStyle w:val="32"/>
          <w:rFonts w:hint="eastAsia" w:ascii="宋体" w:hAnsi="宋体"/>
          <w:sz w:val="28"/>
          <w:szCs w:val="32"/>
        </w:rPr>
        <w:t>十四、基金管理人和基金托管人的更换</w:t>
      </w:r>
      <w:r>
        <w:rPr>
          <w:rFonts w:hint="eastAsia" w:ascii="宋体" w:hAnsi="宋体"/>
          <w:sz w:val="28"/>
        </w:rPr>
        <w:tab/>
      </w:r>
      <w:r>
        <w:rPr>
          <w:rFonts w:hint="eastAsia" w:ascii="宋体" w:hAnsi="宋体"/>
          <w:sz w:val="28"/>
        </w:rPr>
        <w:t>14-</w:t>
      </w:r>
      <w:r>
        <w:rPr>
          <w:rFonts w:hint="eastAsia" w:ascii="宋体" w:hAnsi="宋体"/>
          <w:sz w:val="28"/>
        </w:rPr>
        <w:fldChar w:fldCharType="begin"/>
      </w:r>
      <w:r>
        <w:rPr>
          <w:rFonts w:hint="eastAsia" w:ascii="宋体" w:hAnsi="宋体"/>
          <w:sz w:val="28"/>
        </w:rPr>
        <w:instrText xml:space="preserve"> PAGEREF _Toc124325898 \h </w:instrText>
      </w:r>
      <w:r>
        <w:rPr>
          <w:rFonts w:hint="eastAsia" w:ascii="宋体" w:hAnsi="宋体"/>
          <w:sz w:val="28"/>
        </w:rPr>
        <w:fldChar w:fldCharType="separate"/>
      </w:r>
      <w:r>
        <w:rPr>
          <w:rFonts w:hint="eastAsia" w:ascii="宋体" w:hAnsi="宋体"/>
          <w:sz w:val="28"/>
        </w:rPr>
        <w:t>1</w:t>
      </w:r>
      <w:r>
        <w:rPr>
          <w:rFonts w:hint="eastAsia" w:ascii="宋体" w:hAnsi="宋体"/>
          <w:sz w:val="28"/>
        </w:rPr>
        <w:fldChar w:fldCharType="end"/>
      </w:r>
      <w:r>
        <w:rPr>
          <w:rFonts w:hint="eastAsia" w:ascii="宋体" w:hAnsi="宋体"/>
          <w:sz w:val="28"/>
        </w:rPr>
        <w:fldChar w:fldCharType="end"/>
      </w:r>
    </w:p>
    <w:p>
      <w:pPr>
        <w:pStyle w:val="20"/>
        <w:tabs>
          <w:tab w:val="right" w:leader="dot" w:pos="8494"/>
        </w:tabs>
        <w:spacing w:line="360" w:lineRule="auto"/>
        <w:rPr>
          <w:rFonts w:hint="eastAsia" w:ascii="宋体" w:hAnsi="宋体"/>
          <w:sz w:val="28"/>
        </w:rPr>
      </w:pPr>
      <w:r>
        <w:fldChar w:fldCharType="begin"/>
      </w:r>
      <w:r>
        <w:instrText xml:space="preserve"> HYPERLINK \l "_Toc124325899" </w:instrText>
      </w:r>
      <w:r>
        <w:fldChar w:fldCharType="separate"/>
      </w:r>
      <w:r>
        <w:rPr>
          <w:rStyle w:val="32"/>
          <w:rFonts w:hint="eastAsia" w:ascii="宋体" w:hAnsi="宋体"/>
          <w:sz w:val="28"/>
          <w:szCs w:val="32"/>
        </w:rPr>
        <w:t>十五、禁止行为</w:t>
      </w:r>
      <w:r>
        <w:rPr>
          <w:rFonts w:hint="eastAsia" w:ascii="宋体" w:hAnsi="宋体"/>
          <w:sz w:val="28"/>
        </w:rPr>
        <w:tab/>
      </w:r>
      <w:r>
        <w:rPr>
          <w:rFonts w:hint="eastAsia" w:ascii="宋体" w:hAnsi="宋体"/>
          <w:sz w:val="28"/>
        </w:rPr>
        <w:t>15-</w:t>
      </w:r>
      <w:r>
        <w:rPr>
          <w:rFonts w:hint="eastAsia" w:ascii="宋体" w:hAnsi="宋体"/>
          <w:sz w:val="28"/>
        </w:rPr>
        <w:fldChar w:fldCharType="begin"/>
      </w:r>
      <w:r>
        <w:rPr>
          <w:rFonts w:hint="eastAsia" w:ascii="宋体" w:hAnsi="宋体"/>
          <w:sz w:val="28"/>
        </w:rPr>
        <w:instrText xml:space="preserve"> PAGEREF _Toc124325899 \h </w:instrText>
      </w:r>
      <w:r>
        <w:rPr>
          <w:rFonts w:hint="eastAsia" w:ascii="宋体" w:hAnsi="宋体"/>
          <w:sz w:val="28"/>
        </w:rPr>
        <w:fldChar w:fldCharType="separate"/>
      </w:r>
      <w:r>
        <w:rPr>
          <w:rFonts w:hint="eastAsia" w:ascii="宋体" w:hAnsi="宋体"/>
          <w:sz w:val="28"/>
        </w:rPr>
        <w:t>1</w:t>
      </w:r>
      <w:r>
        <w:rPr>
          <w:rFonts w:hint="eastAsia" w:ascii="宋体" w:hAnsi="宋体"/>
          <w:sz w:val="28"/>
        </w:rPr>
        <w:fldChar w:fldCharType="end"/>
      </w:r>
      <w:r>
        <w:rPr>
          <w:rFonts w:hint="eastAsia" w:ascii="宋体" w:hAnsi="宋体"/>
          <w:sz w:val="28"/>
        </w:rPr>
        <w:fldChar w:fldCharType="end"/>
      </w:r>
    </w:p>
    <w:p>
      <w:pPr>
        <w:pStyle w:val="20"/>
        <w:tabs>
          <w:tab w:val="right" w:leader="dot" w:pos="8494"/>
        </w:tabs>
        <w:spacing w:line="360" w:lineRule="auto"/>
        <w:rPr>
          <w:rFonts w:hint="eastAsia" w:ascii="宋体" w:hAnsi="宋体"/>
          <w:sz w:val="28"/>
        </w:rPr>
      </w:pPr>
      <w:r>
        <w:fldChar w:fldCharType="begin"/>
      </w:r>
      <w:r>
        <w:instrText xml:space="preserve"> HYPERLINK \l "_Toc124325900" </w:instrText>
      </w:r>
      <w:r>
        <w:fldChar w:fldCharType="separate"/>
      </w:r>
      <w:r>
        <w:rPr>
          <w:rStyle w:val="32"/>
          <w:rFonts w:hint="eastAsia" w:ascii="宋体" w:hAnsi="宋体"/>
          <w:sz w:val="28"/>
          <w:szCs w:val="32"/>
        </w:rPr>
        <w:t>十六、托管协议的变更、终止与基金财产的清算</w:t>
      </w:r>
      <w:r>
        <w:rPr>
          <w:rFonts w:hint="eastAsia" w:ascii="宋体" w:hAnsi="宋体"/>
          <w:sz w:val="28"/>
        </w:rPr>
        <w:tab/>
      </w:r>
      <w:r>
        <w:rPr>
          <w:rFonts w:hint="eastAsia" w:ascii="宋体" w:hAnsi="宋体"/>
          <w:sz w:val="28"/>
        </w:rPr>
        <w:t>16-</w:t>
      </w:r>
      <w:r>
        <w:rPr>
          <w:rFonts w:hint="eastAsia" w:ascii="宋体" w:hAnsi="宋体"/>
          <w:sz w:val="28"/>
        </w:rPr>
        <w:fldChar w:fldCharType="begin"/>
      </w:r>
      <w:r>
        <w:rPr>
          <w:rFonts w:hint="eastAsia" w:ascii="宋体" w:hAnsi="宋体"/>
          <w:sz w:val="28"/>
        </w:rPr>
        <w:instrText xml:space="preserve"> PAGEREF _Toc124325900 \h </w:instrText>
      </w:r>
      <w:r>
        <w:rPr>
          <w:rFonts w:hint="eastAsia" w:ascii="宋体" w:hAnsi="宋体"/>
          <w:sz w:val="28"/>
        </w:rPr>
        <w:fldChar w:fldCharType="separate"/>
      </w:r>
      <w:r>
        <w:rPr>
          <w:rFonts w:hint="eastAsia" w:ascii="宋体" w:hAnsi="宋体"/>
          <w:sz w:val="28"/>
        </w:rPr>
        <w:t>1</w:t>
      </w:r>
      <w:r>
        <w:rPr>
          <w:rFonts w:hint="eastAsia" w:ascii="宋体" w:hAnsi="宋体"/>
          <w:sz w:val="28"/>
        </w:rPr>
        <w:fldChar w:fldCharType="end"/>
      </w:r>
      <w:r>
        <w:rPr>
          <w:rFonts w:hint="eastAsia" w:ascii="宋体" w:hAnsi="宋体"/>
          <w:sz w:val="28"/>
        </w:rPr>
        <w:fldChar w:fldCharType="end"/>
      </w:r>
    </w:p>
    <w:p>
      <w:pPr>
        <w:pStyle w:val="20"/>
        <w:tabs>
          <w:tab w:val="right" w:leader="dot" w:pos="8494"/>
        </w:tabs>
        <w:spacing w:line="360" w:lineRule="auto"/>
        <w:rPr>
          <w:rFonts w:hint="eastAsia" w:ascii="宋体" w:hAnsi="宋体"/>
          <w:sz w:val="28"/>
        </w:rPr>
      </w:pPr>
      <w:r>
        <w:fldChar w:fldCharType="begin"/>
      </w:r>
      <w:r>
        <w:instrText xml:space="preserve"> HYPERLINK \l "_Toc124325901" </w:instrText>
      </w:r>
      <w:r>
        <w:fldChar w:fldCharType="separate"/>
      </w:r>
      <w:r>
        <w:rPr>
          <w:rStyle w:val="32"/>
          <w:rFonts w:hint="eastAsia" w:ascii="宋体" w:hAnsi="宋体"/>
          <w:sz w:val="28"/>
          <w:szCs w:val="32"/>
        </w:rPr>
        <w:t>十七、违约责任</w:t>
      </w:r>
      <w:r>
        <w:rPr>
          <w:rFonts w:hint="eastAsia" w:ascii="宋体" w:hAnsi="宋体"/>
          <w:sz w:val="28"/>
        </w:rPr>
        <w:tab/>
      </w:r>
      <w:r>
        <w:rPr>
          <w:rFonts w:hint="eastAsia" w:ascii="宋体" w:hAnsi="宋体"/>
          <w:sz w:val="28"/>
        </w:rPr>
        <w:t>17-</w:t>
      </w:r>
      <w:r>
        <w:rPr>
          <w:rFonts w:hint="eastAsia" w:ascii="宋体" w:hAnsi="宋体"/>
          <w:sz w:val="28"/>
        </w:rPr>
        <w:fldChar w:fldCharType="begin"/>
      </w:r>
      <w:r>
        <w:rPr>
          <w:rFonts w:hint="eastAsia" w:ascii="宋体" w:hAnsi="宋体"/>
          <w:sz w:val="28"/>
        </w:rPr>
        <w:instrText xml:space="preserve"> PAGEREF _Toc124325901 \h </w:instrText>
      </w:r>
      <w:r>
        <w:rPr>
          <w:rFonts w:hint="eastAsia" w:ascii="宋体" w:hAnsi="宋体"/>
          <w:sz w:val="28"/>
        </w:rPr>
        <w:fldChar w:fldCharType="separate"/>
      </w:r>
      <w:r>
        <w:rPr>
          <w:rFonts w:hint="eastAsia" w:ascii="宋体" w:hAnsi="宋体"/>
          <w:sz w:val="28"/>
        </w:rPr>
        <w:t>1</w:t>
      </w:r>
      <w:r>
        <w:rPr>
          <w:rFonts w:hint="eastAsia" w:ascii="宋体" w:hAnsi="宋体"/>
          <w:sz w:val="28"/>
        </w:rPr>
        <w:fldChar w:fldCharType="end"/>
      </w:r>
      <w:r>
        <w:rPr>
          <w:rFonts w:hint="eastAsia" w:ascii="宋体" w:hAnsi="宋体"/>
          <w:sz w:val="28"/>
        </w:rPr>
        <w:fldChar w:fldCharType="end"/>
      </w:r>
    </w:p>
    <w:p>
      <w:pPr>
        <w:pStyle w:val="20"/>
        <w:tabs>
          <w:tab w:val="right" w:leader="dot" w:pos="8494"/>
        </w:tabs>
        <w:spacing w:line="360" w:lineRule="auto"/>
        <w:rPr>
          <w:rFonts w:hint="eastAsia" w:ascii="宋体" w:hAnsi="宋体"/>
          <w:sz w:val="28"/>
        </w:rPr>
      </w:pPr>
      <w:r>
        <w:fldChar w:fldCharType="begin"/>
      </w:r>
      <w:r>
        <w:instrText xml:space="preserve"> HYPERLINK \l "_Toc124325902" </w:instrText>
      </w:r>
      <w:r>
        <w:fldChar w:fldCharType="separate"/>
      </w:r>
      <w:r>
        <w:rPr>
          <w:rStyle w:val="32"/>
          <w:rFonts w:hint="eastAsia" w:ascii="宋体" w:hAnsi="宋体"/>
          <w:sz w:val="28"/>
          <w:szCs w:val="32"/>
        </w:rPr>
        <w:t>十八、争议解决方式</w:t>
      </w:r>
      <w:r>
        <w:rPr>
          <w:rFonts w:hint="eastAsia" w:ascii="宋体" w:hAnsi="宋体"/>
          <w:sz w:val="28"/>
        </w:rPr>
        <w:tab/>
      </w:r>
      <w:r>
        <w:rPr>
          <w:rFonts w:hint="eastAsia" w:ascii="宋体" w:hAnsi="宋体"/>
          <w:sz w:val="28"/>
        </w:rPr>
        <w:t>18-</w:t>
      </w:r>
      <w:r>
        <w:rPr>
          <w:rFonts w:hint="eastAsia" w:ascii="宋体" w:hAnsi="宋体"/>
          <w:sz w:val="28"/>
        </w:rPr>
        <w:fldChar w:fldCharType="begin"/>
      </w:r>
      <w:r>
        <w:rPr>
          <w:rFonts w:hint="eastAsia" w:ascii="宋体" w:hAnsi="宋体"/>
          <w:sz w:val="28"/>
        </w:rPr>
        <w:instrText xml:space="preserve"> PAGEREF _Toc124325902 \h </w:instrText>
      </w:r>
      <w:r>
        <w:rPr>
          <w:rFonts w:hint="eastAsia" w:ascii="宋体" w:hAnsi="宋体"/>
          <w:sz w:val="28"/>
        </w:rPr>
        <w:fldChar w:fldCharType="separate"/>
      </w:r>
      <w:r>
        <w:rPr>
          <w:rFonts w:hint="eastAsia" w:ascii="宋体" w:hAnsi="宋体"/>
          <w:sz w:val="28"/>
        </w:rPr>
        <w:t>1</w:t>
      </w:r>
      <w:r>
        <w:rPr>
          <w:rFonts w:hint="eastAsia" w:ascii="宋体" w:hAnsi="宋体"/>
          <w:sz w:val="28"/>
        </w:rPr>
        <w:fldChar w:fldCharType="end"/>
      </w:r>
      <w:r>
        <w:rPr>
          <w:rFonts w:hint="eastAsia" w:ascii="宋体" w:hAnsi="宋体"/>
          <w:sz w:val="28"/>
        </w:rPr>
        <w:fldChar w:fldCharType="end"/>
      </w:r>
    </w:p>
    <w:p>
      <w:pPr>
        <w:pStyle w:val="20"/>
        <w:tabs>
          <w:tab w:val="right" w:leader="dot" w:pos="8494"/>
        </w:tabs>
        <w:spacing w:line="360" w:lineRule="auto"/>
        <w:rPr>
          <w:rFonts w:hint="eastAsia" w:ascii="宋体" w:hAnsi="宋体"/>
          <w:sz w:val="28"/>
        </w:rPr>
      </w:pPr>
      <w:r>
        <w:fldChar w:fldCharType="begin"/>
      </w:r>
      <w:r>
        <w:instrText xml:space="preserve"> HYPERLINK \l "_Toc124325903" </w:instrText>
      </w:r>
      <w:r>
        <w:fldChar w:fldCharType="separate"/>
      </w:r>
      <w:r>
        <w:rPr>
          <w:rStyle w:val="32"/>
          <w:rFonts w:hint="eastAsia" w:ascii="宋体" w:hAnsi="宋体"/>
          <w:sz w:val="28"/>
          <w:szCs w:val="32"/>
        </w:rPr>
        <w:t>十九、托管协议的效力</w:t>
      </w:r>
      <w:r>
        <w:rPr>
          <w:rFonts w:hint="eastAsia" w:ascii="宋体" w:hAnsi="宋体"/>
          <w:sz w:val="28"/>
        </w:rPr>
        <w:tab/>
      </w:r>
      <w:r>
        <w:rPr>
          <w:rFonts w:hint="eastAsia" w:ascii="宋体" w:hAnsi="宋体"/>
          <w:sz w:val="28"/>
        </w:rPr>
        <w:t>19-</w:t>
      </w:r>
      <w:r>
        <w:rPr>
          <w:rFonts w:hint="eastAsia" w:ascii="宋体" w:hAnsi="宋体"/>
          <w:sz w:val="28"/>
        </w:rPr>
        <w:fldChar w:fldCharType="begin"/>
      </w:r>
      <w:r>
        <w:rPr>
          <w:rFonts w:hint="eastAsia" w:ascii="宋体" w:hAnsi="宋体"/>
          <w:sz w:val="28"/>
        </w:rPr>
        <w:instrText xml:space="preserve"> PAGEREF _Toc124325903 \h </w:instrText>
      </w:r>
      <w:r>
        <w:rPr>
          <w:rFonts w:hint="eastAsia" w:ascii="宋体" w:hAnsi="宋体"/>
          <w:sz w:val="28"/>
        </w:rPr>
        <w:fldChar w:fldCharType="separate"/>
      </w:r>
      <w:r>
        <w:rPr>
          <w:rFonts w:hint="eastAsia" w:ascii="宋体" w:hAnsi="宋体"/>
          <w:sz w:val="28"/>
        </w:rPr>
        <w:t>1</w:t>
      </w:r>
      <w:r>
        <w:rPr>
          <w:rFonts w:hint="eastAsia" w:ascii="宋体" w:hAnsi="宋体"/>
          <w:sz w:val="28"/>
        </w:rPr>
        <w:fldChar w:fldCharType="end"/>
      </w:r>
      <w:r>
        <w:rPr>
          <w:rFonts w:hint="eastAsia" w:ascii="宋体" w:hAnsi="宋体"/>
          <w:sz w:val="28"/>
        </w:rPr>
        <w:fldChar w:fldCharType="end"/>
      </w:r>
    </w:p>
    <w:p>
      <w:pPr>
        <w:pStyle w:val="20"/>
        <w:tabs>
          <w:tab w:val="right" w:leader="dot" w:pos="8494"/>
        </w:tabs>
        <w:spacing w:line="360" w:lineRule="auto"/>
        <w:rPr>
          <w:rFonts w:hint="eastAsia" w:ascii="宋体" w:hAnsi="宋体"/>
          <w:sz w:val="28"/>
        </w:rPr>
      </w:pPr>
      <w:r>
        <w:fldChar w:fldCharType="begin"/>
      </w:r>
      <w:r>
        <w:instrText xml:space="preserve"> HYPERLINK \l "_Toc124325904" </w:instrText>
      </w:r>
      <w:r>
        <w:fldChar w:fldCharType="separate"/>
      </w:r>
      <w:r>
        <w:rPr>
          <w:rStyle w:val="32"/>
          <w:rFonts w:hint="eastAsia" w:ascii="宋体" w:hAnsi="宋体"/>
          <w:sz w:val="28"/>
          <w:szCs w:val="32"/>
        </w:rPr>
        <w:t>二十、其他事项</w:t>
      </w:r>
      <w:r>
        <w:rPr>
          <w:rFonts w:hint="eastAsia" w:ascii="宋体" w:hAnsi="宋体"/>
          <w:sz w:val="28"/>
        </w:rPr>
        <w:tab/>
      </w:r>
      <w:r>
        <w:rPr>
          <w:rFonts w:hint="eastAsia" w:ascii="宋体" w:hAnsi="宋体"/>
          <w:sz w:val="28"/>
        </w:rPr>
        <w:t>20-</w:t>
      </w:r>
      <w:r>
        <w:rPr>
          <w:rFonts w:hint="eastAsia" w:ascii="宋体" w:hAnsi="宋体"/>
          <w:sz w:val="28"/>
        </w:rPr>
        <w:fldChar w:fldCharType="begin"/>
      </w:r>
      <w:r>
        <w:rPr>
          <w:rFonts w:hint="eastAsia" w:ascii="宋体" w:hAnsi="宋体"/>
          <w:sz w:val="28"/>
        </w:rPr>
        <w:instrText xml:space="preserve"> PAGEREF _Toc124325904 \h </w:instrText>
      </w:r>
      <w:r>
        <w:rPr>
          <w:rFonts w:hint="eastAsia" w:ascii="宋体" w:hAnsi="宋体"/>
          <w:sz w:val="28"/>
        </w:rPr>
        <w:fldChar w:fldCharType="separate"/>
      </w:r>
      <w:r>
        <w:rPr>
          <w:rFonts w:hint="eastAsia" w:ascii="宋体" w:hAnsi="宋体"/>
          <w:sz w:val="28"/>
        </w:rPr>
        <w:t>1</w:t>
      </w:r>
      <w:r>
        <w:rPr>
          <w:rFonts w:hint="eastAsia" w:ascii="宋体" w:hAnsi="宋体"/>
          <w:sz w:val="28"/>
        </w:rPr>
        <w:fldChar w:fldCharType="end"/>
      </w:r>
      <w:r>
        <w:rPr>
          <w:rFonts w:hint="eastAsia" w:ascii="宋体" w:hAnsi="宋体"/>
          <w:sz w:val="28"/>
        </w:rPr>
        <w:fldChar w:fldCharType="end"/>
      </w:r>
    </w:p>
    <w:p>
      <w:pPr>
        <w:pStyle w:val="20"/>
        <w:tabs>
          <w:tab w:val="right" w:leader="dot" w:pos="8494"/>
        </w:tabs>
        <w:spacing w:line="360" w:lineRule="auto"/>
        <w:rPr>
          <w:rFonts w:hint="eastAsia" w:ascii="宋体" w:hAnsi="宋体"/>
        </w:rPr>
        <w:sectPr>
          <w:headerReference r:id="rId5" w:type="default"/>
          <w:footerReference r:id="rId6" w:type="default"/>
          <w:pgSz w:w="11906" w:h="16838"/>
          <w:pgMar w:top="1418" w:right="1701" w:bottom="1418" w:left="1701" w:header="851" w:footer="992" w:gutter="0"/>
          <w:pgNumType w:start="1"/>
          <w:cols w:space="425" w:num="1"/>
          <w:docGrid w:type="lines" w:linePitch="312" w:charSpace="0"/>
        </w:sectPr>
      </w:pPr>
      <w:r>
        <w:fldChar w:fldCharType="begin"/>
      </w:r>
      <w:r>
        <w:instrText xml:space="preserve"> HYPERLINK \l "_Toc124325905" </w:instrText>
      </w:r>
      <w:r>
        <w:fldChar w:fldCharType="separate"/>
      </w:r>
      <w:r>
        <w:rPr>
          <w:rStyle w:val="32"/>
          <w:rFonts w:hint="eastAsia" w:ascii="宋体" w:hAnsi="宋体"/>
          <w:sz w:val="28"/>
          <w:szCs w:val="32"/>
        </w:rPr>
        <w:t>二十一、托管协议的签订</w:t>
      </w:r>
      <w:r>
        <w:rPr>
          <w:rFonts w:hint="eastAsia" w:ascii="宋体" w:hAnsi="宋体"/>
          <w:sz w:val="28"/>
        </w:rPr>
        <w:tab/>
      </w:r>
      <w:r>
        <w:rPr>
          <w:rFonts w:hint="eastAsia" w:ascii="宋体" w:hAnsi="宋体"/>
          <w:sz w:val="28"/>
        </w:rPr>
        <w:t>21-</w:t>
      </w:r>
      <w:r>
        <w:rPr>
          <w:rFonts w:hint="eastAsia" w:ascii="宋体" w:hAnsi="宋体"/>
          <w:sz w:val="28"/>
        </w:rPr>
        <w:fldChar w:fldCharType="begin"/>
      </w:r>
      <w:r>
        <w:rPr>
          <w:rFonts w:hint="eastAsia" w:ascii="宋体" w:hAnsi="宋体"/>
          <w:sz w:val="28"/>
        </w:rPr>
        <w:instrText xml:space="preserve"> PAGEREF _Toc124325905 \h </w:instrText>
      </w:r>
      <w:r>
        <w:rPr>
          <w:rFonts w:hint="eastAsia" w:ascii="宋体" w:hAnsi="宋体"/>
          <w:sz w:val="28"/>
        </w:rPr>
        <w:fldChar w:fldCharType="separate"/>
      </w:r>
      <w:r>
        <w:rPr>
          <w:rFonts w:hint="eastAsia" w:ascii="宋体" w:hAnsi="宋体"/>
          <w:sz w:val="28"/>
        </w:rPr>
        <w:t>1</w:t>
      </w:r>
      <w:r>
        <w:rPr>
          <w:rFonts w:hint="eastAsia" w:ascii="宋体" w:hAnsi="宋体"/>
          <w:sz w:val="28"/>
        </w:rPr>
        <w:fldChar w:fldCharType="end"/>
      </w:r>
      <w:r>
        <w:rPr>
          <w:rFonts w:hint="eastAsia" w:ascii="宋体" w:hAnsi="宋体"/>
          <w:sz w:val="28"/>
        </w:rPr>
        <w:fldChar w:fldCharType="end"/>
      </w:r>
    </w:p>
    <w:p>
      <w:pPr>
        <w:spacing w:line="360" w:lineRule="auto"/>
        <w:rPr>
          <w:rFonts w:hint="eastAsia" w:ascii="宋体" w:hAnsi="宋体"/>
          <w:sz w:val="24"/>
        </w:rPr>
      </w:pPr>
      <w:r>
        <w:rPr>
          <w:rFonts w:hint="eastAsia" w:ascii="宋体" w:hAnsi="宋体"/>
          <w:sz w:val="28"/>
        </w:rPr>
        <w:fldChar w:fldCharType="end"/>
      </w:r>
    </w:p>
    <w:p>
      <w:pPr>
        <w:widowControl/>
        <w:adjustRightInd w:val="0"/>
        <w:snapToGrid w:val="0"/>
        <w:spacing w:line="360" w:lineRule="auto"/>
        <w:ind w:firstLine="480" w:firstLineChars="200"/>
        <w:rPr>
          <w:rFonts w:hint="eastAsia" w:ascii="宋体" w:hAnsi="宋体" w:cs="Arial"/>
          <w:kern w:val="0"/>
          <w:sz w:val="24"/>
        </w:rPr>
      </w:pPr>
      <w:r>
        <w:rPr>
          <w:rFonts w:hint="eastAsia" w:ascii="宋体" w:hAnsi="宋体" w:cs="Arial"/>
          <w:kern w:val="0"/>
          <w:sz w:val="24"/>
        </w:rPr>
        <w:t>鉴于博时基金管理有限公司系一家依照中国法律合法成立并有效存续的有限责任公司，按照相关法律法规的规定具备担任基金管理人的资格和能力，拟募集发行博时卓睿成长股票型证券投资基金；</w:t>
      </w:r>
    </w:p>
    <w:p>
      <w:pPr>
        <w:widowControl/>
        <w:adjustRightInd w:val="0"/>
        <w:snapToGrid w:val="0"/>
        <w:spacing w:line="360" w:lineRule="auto"/>
        <w:ind w:firstLine="480" w:firstLineChars="200"/>
        <w:rPr>
          <w:rFonts w:hint="eastAsia" w:ascii="宋体" w:hAnsi="宋体" w:cs="Arial"/>
          <w:kern w:val="0"/>
          <w:sz w:val="24"/>
        </w:rPr>
      </w:pPr>
      <w:r>
        <w:rPr>
          <w:rFonts w:hint="eastAsia" w:ascii="宋体" w:hAnsi="宋体" w:cs="Arial"/>
          <w:kern w:val="0"/>
          <w:sz w:val="24"/>
        </w:rPr>
        <w:t>鉴于中国建设银行股份有限公司系一家依照中国法律合法成立并有效存续的银行，按照相关法律法规的规定具备担任基金托管人的资格和能力；</w:t>
      </w:r>
    </w:p>
    <w:p>
      <w:pPr>
        <w:widowControl/>
        <w:adjustRightInd w:val="0"/>
        <w:snapToGrid w:val="0"/>
        <w:spacing w:line="360" w:lineRule="auto"/>
        <w:ind w:firstLine="480" w:firstLineChars="200"/>
        <w:rPr>
          <w:rFonts w:hint="eastAsia" w:ascii="宋体" w:hAnsi="宋体" w:cs="Arial"/>
          <w:kern w:val="0"/>
          <w:sz w:val="24"/>
        </w:rPr>
      </w:pPr>
      <w:r>
        <w:rPr>
          <w:rFonts w:hint="eastAsia" w:ascii="宋体" w:hAnsi="宋体" w:cs="Arial"/>
          <w:kern w:val="0"/>
          <w:sz w:val="24"/>
        </w:rPr>
        <w:t>鉴于博时基金管理有限公司拟担任博时卓睿成长股票型证券投资基金的基金管理人，中国建设银行股份有限公司拟担任博时卓睿成长股票型证券投资基金的基金托管人；</w:t>
      </w:r>
    </w:p>
    <w:p>
      <w:pPr>
        <w:widowControl/>
        <w:adjustRightInd w:val="0"/>
        <w:snapToGrid w:val="0"/>
        <w:spacing w:line="360" w:lineRule="auto"/>
        <w:ind w:firstLine="480" w:firstLineChars="200"/>
        <w:rPr>
          <w:rFonts w:hint="eastAsia" w:ascii="宋体" w:hAnsi="宋体" w:cs="Arial"/>
          <w:kern w:val="0"/>
          <w:sz w:val="24"/>
        </w:rPr>
      </w:pPr>
      <w:r>
        <w:rPr>
          <w:rFonts w:hint="eastAsia" w:ascii="宋体" w:hAnsi="宋体" w:cs="Arial"/>
          <w:kern w:val="0"/>
          <w:sz w:val="24"/>
        </w:rPr>
        <w:t>为明确博时卓睿成长股票型证券投资基金的基金管理人和基金托管人之间的权利义务关系，特制订本托管协议；</w:t>
      </w:r>
    </w:p>
    <w:p>
      <w:pPr>
        <w:widowControl/>
        <w:adjustRightInd w:val="0"/>
        <w:snapToGrid w:val="0"/>
        <w:spacing w:line="360" w:lineRule="auto"/>
        <w:ind w:firstLine="480" w:firstLineChars="200"/>
        <w:rPr>
          <w:rFonts w:hint="eastAsia" w:ascii="宋体" w:hAnsi="宋体" w:cs="Arial"/>
          <w:kern w:val="0"/>
          <w:sz w:val="24"/>
          <w:lang w:val="en-GB"/>
        </w:rPr>
      </w:pPr>
      <w:r>
        <w:rPr>
          <w:rFonts w:hint="eastAsia" w:ascii="宋体" w:hAnsi="宋体" w:cs="Arial"/>
          <w:kern w:val="0"/>
          <w:sz w:val="24"/>
          <w:lang w:val="en-GB"/>
        </w:rPr>
        <w:t>除非另有约定，《博时卓睿成长股票型证券投资基金基金合同》(以下简称“基金合同”)中定义的术语在用于本托管协议时应具有相同的含义；若有抵触应以《基金合同》为准，并依其</w:t>
      </w:r>
      <w:r>
        <w:rPr>
          <w:rFonts w:hint="eastAsia" w:ascii="宋体" w:hAnsi="宋体" w:cs="Arial"/>
          <w:kern w:val="0"/>
          <w:sz w:val="24"/>
        </w:rPr>
        <w:t>条款</w:t>
      </w:r>
      <w:r>
        <w:rPr>
          <w:rFonts w:hint="eastAsia" w:ascii="宋体" w:hAnsi="宋体" w:cs="Arial"/>
          <w:kern w:val="0"/>
          <w:sz w:val="24"/>
          <w:lang w:val="en-GB"/>
        </w:rPr>
        <w:t>解释。</w:t>
      </w:r>
    </w:p>
    <w:p>
      <w:pPr>
        <w:widowControl/>
        <w:adjustRightInd w:val="0"/>
        <w:snapToGrid w:val="0"/>
        <w:spacing w:line="360" w:lineRule="auto"/>
        <w:ind w:firstLine="480" w:firstLineChars="200"/>
        <w:rPr>
          <w:rFonts w:hint="eastAsia" w:ascii="宋体" w:hAnsi="宋体" w:cs="Arial"/>
          <w:kern w:val="0"/>
          <w:sz w:val="24"/>
          <w:lang w:val="en-GB"/>
        </w:rPr>
      </w:pPr>
    </w:p>
    <w:p>
      <w:pPr>
        <w:spacing w:line="360" w:lineRule="auto"/>
        <w:rPr>
          <w:rFonts w:hint="eastAsia" w:ascii="宋体" w:hAnsi="宋体"/>
          <w:sz w:val="24"/>
          <w:lang w:val="en-GB"/>
        </w:rPr>
        <w:sectPr>
          <w:pgSz w:w="11906" w:h="16838"/>
          <w:pgMar w:top="1418" w:right="1701" w:bottom="1418" w:left="1701" w:header="851" w:footer="992" w:gutter="0"/>
          <w:pgNumType w:start="1"/>
          <w:cols w:space="425" w:num="1"/>
          <w:docGrid w:type="lines" w:linePitch="312" w:charSpace="0"/>
        </w:sectPr>
      </w:pPr>
    </w:p>
    <w:p>
      <w:pPr>
        <w:pStyle w:val="3"/>
        <w:spacing w:line="360" w:lineRule="auto"/>
        <w:jc w:val="center"/>
        <w:rPr>
          <w:rFonts w:hint="eastAsia" w:ascii="宋体" w:hAnsi="宋体" w:eastAsia="宋体"/>
        </w:rPr>
      </w:pPr>
      <w:bookmarkStart w:id="0" w:name="_Toc124325885"/>
      <w:r>
        <w:rPr>
          <w:rFonts w:hint="eastAsia" w:ascii="宋体" w:hAnsi="宋体" w:eastAsia="宋体"/>
        </w:rPr>
        <w:t>一、基金托管协议当事人</w:t>
      </w:r>
      <w:bookmarkEnd w:id="0"/>
    </w:p>
    <w:p>
      <w:pPr>
        <w:adjustRightInd w:val="0"/>
        <w:snapToGrid w:val="0"/>
        <w:spacing w:line="360" w:lineRule="auto"/>
        <w:ind w:firstLine="480" w:firstLineChars="200"/>
        <w:outlineLvl w:val="0"/>
        <w:rPr>
          <w:rFonts w:hint="eastAsia" w:ascii="宋体" w:hAnsi="宋体" w:cs="宋体"/>
          <w:sz w:val="24"/>
        </w:rPr>
      </w:pPr>
      <w:r>
        <w:rPr>
          <w:rFonts w:hint="eastAsia" w:ascii="宋体" w:hAnsi="宋体" w:cs="宋体"/>
          <w:sz w:val="24"/>
        </w:rPr>
        <w:t>（一）基金管理人</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名称：博时基金管理有限公司</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注册地址：深圳市福田区莲花街道福新社区益田路5999号基金大厦21层</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办公地址：广东省深圳市福田区益田路5999号基金大厦21层</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邮政编码：518046</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法定代表人：江向阳</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成立日期：1998年7月13日</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批准设立机关及批准设立文号：中国证监会证监基字【1998】26号</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组织形式：有限责任公司</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注册资本：2.5亿元人民币</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存续期间：持续经营</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经营范围：基金募集；基金销售；资产管理以及中国证监会许可的其它业务</w:t>
      </w:r>
    </w:p>
    <w:p>
      <w:pPr>
        <w:adjustRightInd w:val="0"/>
        <w:snapToGrid w:val="0"/>
        <w:spacing w:line="360" w:lineRule="auto"/>
        <w:ind w:firstLine="480" w:firstLineChars="200"/>
        <w:outlineLvl w:val="0"/>
        <w:rPr>
          <w:rFonts w:hint="eastAsia" w:ascii="宋体" w:hAnsi="宋体" w:cs="宋体"/>
          <w:sz w:val="24"/>
        </w:rPr>
      </w:pPr>
      <w:r>
        <w:rPr>
          <w:rFonts w:hint="eastAsia" w:ascii="宋体" w:hAnsi="宋体" w:cs="宋体"/>
          <w:sz w:val="24"/>
        </w:rPr>
        <w:t>（二）基金托管人</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名称：中国建设银行股份有限公司(简称：中国建设银行)</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住所：北京市西城区金融大街25号</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办公地址：北京市西城区闹市口大街1号院1号楼</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邮政编码：100033</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法定代表人：张金良</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成立日期：2004年09月17日</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基金托管业务批准文号：中国证监会证监基字[1998</w:t>
      </w:r>
      <w:bookmarkStart w:id="1" w:name="OLE_LINK3"/>
      <w:r>
        <w:rPr>
          <w:rFonts w:hint="eastAsia" w:ascii="宋体" w:hAnsi="宋体" w:cs="宋体"/>
          <w:sz w:val="24"/>
        </w:rPr>
        <w:t>]</w:t>
      </w:r>
      <w:bookmarkEnd w:id="1"/>
      <w:r>
        <w:rPr>
          <w:rFonts w:hint="eastAsia" w:ascii="宋体" w:hAnsi="宋体" w:cs="宋体"/>
          <w:sz w:val="24"/>
        </w:rPr>
        <w:t>12号</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组织形式：股份有限公司</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注册资本：贰仟伍佰亿壹仟零玖拾柒万柒仟肆佰捌拾陆元整</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存续期间：持续经营</w:t>
      </w:r>
    </w:p>
    <w:p>
      <w:pPr>
        <w:tabs>
          <w:tab w:val="left" w:pos="540"/>
        </w:tabs>
        <w:adjustRightInd w:val="0"/>
        <w:snapToGrid w:val="0"/>
        <w:spacing w:line="360" w:lineRule="auto"/>
        <w:ind w:firstLine="480" w:firstLineChars="200"/>
        <w:rPr>
          <w:rFonts w:hint="eastAsia" w:ascii="宋体" w:hAnsi="宋体" w:cs="宋体"/>
          <w:sz w:val="24"/>
        </w:rPr>
      </w:pPr>
      <w:r>
        <w:rPr>
          <w:rFonts w:hint="eastAsia" w:ascii="宋体" w:hAnsi="宋体" w:cs="宋体"/>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pPr>
        <w:tabs>
          <w:tab w:val="left" w:pos="540"/>
        </w:tabs>
        <w:adjustRightInd w:val="0"/>
        <w:snapToGrid w:val="0"/>
        <w:spacing w:line="360" w:lineRule="auto"/>
        <w:ind w:firstLine="480" w:firstLineChars="200"/>
        <w:rPr>
          <w:rFonts w:hint="eastAsia" w:ascii="宋体" w:hAnsi="宋体" w:cs="Arial"/>
          <w:sz w:val="24"/>
        </w:rPr>
      </w:pPr>
    </w:p>
    <w:p>
      <w:pPr>
        <w:spacing w:line="360" w:lineRule="auto"/>
        <w:rPr>
          <w:rFonts w:hint="eastAsia" w:ascii="宋体" w:hAnsi="宋体"/>
          <w:sz w:val="24"/>
        </w:rPr>
        <w:sectPr>
          <w:footerReference r:id="rId7" w:type="default"/>
          <w:pgSz w:w="11906" w:h="16838"/>
          <w:pgMar w:top="1418" w:right="1701" w:bottom="1418" w:left="1701" w:header="851" w:footer="992" w:gutter="0"/>
          <w:pgNumType w:start="1"/>
          <w:cols w:space="425" w:num="1"/>
          <w:docGrid w:type="lines" w:linePitch="312" w:charSpace="0"/>
        </w:sectPr>
      </w:pPr>
    </w:p>
    <w:p>
      <w:pPr>
        <w:pStyle w:val="3"/>
        <w:spacing w:line="360" w:lineRule="auto"/>
        <w:jc w:val="center"/>
        <w:rPr>
          <w:rFonts w:hint="eastAsia" w:ascii="宋体" w:hAnsi="宋体" w:eastAsia="宋体"/>
          <w:sz w:val="30"/>
        </w:rPr>
      </w:pPr>
      <w:bookmarkStart w:id="2" w:name="_Toc124325886"/>
      <w:r>
        <w:rPr>
          <w:rFonts w:hint="eastAsia" w:ascii="宋体" w:hAnsi="宋体" w:eastAsia="宋体"/>
          <w:sz w:val="30"/>
        </w:rPr>
        <w:t>二、基金托管协议的依据、目的和原则</w:t>
      </w:r>
      <w:bookmarkEnd w:id="2"/>
    </w:p>
    <w:p>
      <w:pPr>
        <w:adjustRightInd w:val="0"/>
        <w:snapToGrid w:val="0"/>
        <w:spacing w:line="360" w:lineRule="auto"/>
        <w:ind w:firstLine="480" w:firstLineChars="200"/>
        <w:rPr>
          <w:rFonts w:hint="eastAsia" w:ascii="宋体" w:hAnsi="宋体" w:cs="宋体"/>
          <w:sz w:val="24"/>
          <w:szCs w:val="30"/>
        </w:rPr>
      </w:pPr>
      <w:r>
        <w:rPr>
          <w:rFonts w:hint="eastAsia" w:ascii="宋体" w:hAnsi="宋体" w:cs="宋体"/>
          <w:sz w:val="24"/>
        </w:rPr>
        <w:t>（一）订立托管协议的依据</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本协议依据《中华人民共和国证券投资基金法》(以下简称“《基金法》”)等有关法律法规、《基金合同》及其他有关规定制订。</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（二）订立托管协议的目的</w:t>
      </w:r>
    </w:p>
    <w:p>
      <w:pPr>
        <w:adjustRightInd w:val="0"/>
        <w:snapToGrid w:val="0"/>
        <w:spacing w:line="360" w:lineRule="auto"/>
        <w:ind w:firstLine="480" w:firstLineChars="200"/>
        <w:rPr>
          <w:rFonts w:hint="eastAsia" w:ascii="宋体" w:hAnsi="宋体" w:cs="宋体"/>
          <w:sz w:val="24"/>
          <w:szCs w:val="30"/>
        </w:rPr>
      </w:pPr>
      <w:r>
        <w:rPr>
          <w:rFonts w:hint="eastAsia" w:ascii="宋体" w:hAnsi="宋体" w:cs="宋体"/>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（三）订立托管协议的原则</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基金管理人和基金托管人本着平等自愿、诚实信用、充分保护基金份额持有人合法权益的原则，经协商一致，签订本协议。</w:t>
      </w:r>
    </w:p>
    <w:p>
      <w:pPr>
        <w:adjustRightInd w:val="0"/>
        <w:snapToGrid w:val="0"/>
        <w:spacing w:line="360" w:lineRule="auto"/>
        <w:ind w:firstLine="480" w:firstLineChars="200"/>
        <w:rPr>
          <w:rFonts w:hint="eastAsia" w:ascii="宋体" w:hAnsi="宋体" w:cs="Arial"/>
          <w:sz w:val="24"/>
        </w:rPr>
      </w:pPr>
    </w:p>
    <w:p>
      <w:pPr>
        <w:spacing w:line="360" w:lineRule="auto"/>
        <w:rPr>
          <w:rFonts w:hint="eastAsia" w:ascii="宋体" w:hAnsi="宋体"/>
          <w:sz w:val="24"/>
        </w:rPr>
        <w:sectPr>
          <w:footerReference r:id="rId8" w:type="default"/>
          <w:pgSz w:w="11906" w:h="16838"/>
          <w:pgMar w:top="1418" w:right="1701" w:bottom="1418" w:left="1701" w:header="851" w:footer="992" w:gutter="0"/>
          <w:pgNumType w:start="1"/>
          <w:cols w:space="425" w:num="1"/>
          <w:docGrid w:type="lines" w:linePitch="312" w:charSpace="0"/>
        </w:sectPr>
      </w:pPr>
    </w:p>
    <w:p>
      <w:pPr>
        <w:pStyle w:val="3"/>
        <w:spacing w:line="360" w:lineRule="auto"/>
        <w:jc w:val="center"/>
        <w:rPr>
          <w:rFonts w:hint="eastAsia" w:ascii="宋体" w:hAnsi="宋体" w:eastAsia="宋体"/>
          <w:sz w:val="30"/>
          <w:szCs w:val="24"/>
        </w:rPr>
      </w:pPr>
      <w:bookmarkStart w:id="3" w:name="_Toc124325887"/>
      <w:r>
        <w:rPr>
          <w:rFonts w:hint="eastAsia" w:ascii="宋体" w:hAnsi="宋体" w:eastAsia="宋体"/>
          <w:sz w:val="30"/>
        </w:rPr>
        <w:t>三、基金托管人对基金管理人的业务监督和核查</w:t>
      </w:r>
      <w:bookmarkEnd w:id="3"/>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一）基金托管人根据有关法律法规的规定及《基金合同》的约定，对基金投资范围、投资对象进行监督。《基金合同》明确约定基金投资风格或证券选择标准的，基金管理人应按照基金托管人要求的格式，将拟投资的标的证券库提供给基金托管人，基金管理人可以根据实际情况的变化，对标的证券库予以更新和调整并及时书面通知基金托管人。 基金托管人根据上述投资范围对基金实际投资是否符合《基金合同》关于证券选择标准的约定进行监督。</w:t>
      </w:r>
    </w:p>
    <w:p>
      <w:pPr>
        <w:adjustRightInd w:val="0"/>
        <w:snapToGrid w:val="0"/>
        <w:spacing w:line="360" w:lineRule="auto"/>
        <w:ind w:firstLine="480" w:firstLineChars="200"/>
        <w:rPr>
          <w:rFonts w:hint="eastAsia" w:ascii="宋体" w:hAnsi="宋体" w:cs="宋体"/>
          <w:sz w:val="24"/>
          <w:szCs w:val="30"/>
        </w:rPr>
      </w:pPr>
      <w:r>
        <w:rPr>
          <w:rFonts w:hint="eastAsia" w:ascii="宋体" w:hAnsi="宋体" w:cs="宋体"/>
          <w:sz w:val="24"/>
          <w:szCs w:val="30"/>
        </w:rPr>
        <w:t>本基金的投资范围主要为具有良好流动性的金融工具，包括国内依法发行上市的股票（包括主板、创业板及其他经中国证监会核准或注册上市的股票、存托凭证）、内地与香港股票市场交易互联互通机制下允许投资的香港联合交易所上市的股票（以下简称“港股通标的股票”）、债券（包括国债、金融债、地方政府债、政府支持机构债券、政府支持债券、企业债、公司债、央行票据、中期票据、短期融资券、超短期融资券、可转换债券（含可分离交易可转债）、可交换债券、公开发行的次级债等）、资产支持证券、债券回购、银行存款、同业存单、货币市场工具、股指期货、股票期权、国债期货、信用衍生品及法律法规或中国证监会允许基金投资的其他金融工具（但须符合中国证监会相关规定）。</w:t>
      </w:r>
    </w:p>
    <w:p>
      <w:pPr>
        <w:adjustRightInd w:val="0"/>
        <w:snapToGrid w:val="0"/>
        <w:spacing w:line="360" w:lineRule="auto"/>
        <w:ind w:firstLine="480" w:firstLineChars="200"/>
        <w:rPr>
          <w:rFonts w:hint="eastAsia" w:ascii="宋体" w:hAnsi="宋体" w:cs="宋体"/>
          <w:sz w:val="24"/>
          <w:szCs w:val="30"/>
        </w:rPr>
      </w:pPr>
      <w:r>
        <w:rPr>
          <w:rFonts w:hint="eastAsia" w:ascii="宋体" w:hAnsi="宋体" w:cs="宋体"/>
          <w:sz w:val="24"/>
          <w:szCs w:val="30"/>
        </w:rPr>
        <w:t>本基金可根据相关法律法规和基金合同的约定参与融资业务。</w:t>
      </w:r>
    </w:p>
    <w:p>
      <w:pPr>
        <w:adjustRightInd w:val="0"/>
        <w:snapToGrid w:val="0"/>
        <w:spacing w:line="360" w:lineRule="auto"/>
        <w:ind w:firstLine="480" w:firstLineChars="200"/>
        <w:rPr>
          <w:rFonts w:hint="eastAsia" w:ascii="宋体" w:hAnsi="宋体" w:cs="宋体"/>
          <w:sz w:val="24"/>
          <w:szCs w:val="30"/>
        </w:rPr>
      </w:pPr>
      <w:r>
        <w:rPr>
          <w:rFonts w:hint="eastAsia" w:ascii="宋体" w:hAnsi="宋体" w:cs="宋体"/>
          <w:sz w:val="24"/>
          <w:szCs w:val="30"/>
        </w:rPr>
        <w:t>如法律法规或中国证监会以后允许基金投资其他品种，本基金管理人在履行适当程序后，可以将其纳入本基金的投资范围。</w:t>
      </w:r>
    </w:p>
    <w:p>
      <w:pPr>
        <w:adjustRightInd w:val="0"/>
        <w:snapToGrid w:val="0"/>
        <w:spacing w:line="360" w:lineRule="auto"/>
        <w:ind w:firstLine="480" w:firstLineChars="200"/>
        <w:rPr>
          <w:rFonts w:hint="eastAsia" w:ascii="宋体" w:hAnsi="宋体" w:cs="宋体"/>
          <w:sz w:val="24"/>
          <w:szCs w:val="30"/>
        </w:rPr>
      </w:pPr>
      <w:r>
        <w:rPr>
          <w:rFonts w:hint="eastAsia" w:ascii="宋体" w:hAnsi="宋体" w:cs="宋体"/>
          <w:sz w:val="24"/>
          <w:szCs w:val="30"/>
        </w:rPr>
        <w:t>本基金的投资组合比例为：本基金投资组合中股票（含存托凭证）资产投资比例占基金资产的80%-95%；港股通标的股票的投资比例为股票资产的0%-50%；每个交易日日终在扣除股指期货合约、股票期权合约、国债期货合约所需缴纳的交易保证金后，现金或到期日在一年以内的政府债券不低于基金资产净值的5%。前述现金不包括结算备付金、存出保证金、应收申购款等。</w:t>
      </w:r>
    </w:p>
    <w:p>
      <w:pPr>
        <w:adjustRightInd w:val="0"/>
        <w:snapToGrid w:val="0"/>
        <w:spacing w:line="360" w:lineRule="auto"/>
        <w:ind w:firstLine="480" w:firstLineChars="200"/>
        <w:rPr>
          <w:rFonts w:hint="eastAsia" w:ascii="宋体" w:hAnsi="宋体" w:cs="宋体"/>
          <w:sz w:val="24"/>
          <w:szCs w:val="30"/>
        </w:rPr>
      </w:pPr>
      <w:r>
        <w:rPr>
          <w:rFonts w:hint="eastAsia" w:ascii="宋体" w:hAnsi="宋体" w:cs="宋体"/>
          <w:sz w:val="24"/>
          <w:szCs w:val="30"/>
        </w:rPr>
        <w:t xml:space="preserve">若法律法规的相关规定发生变更或监管机构允许，本基金管理人在履行适当程序后，可对上述资产配置比例进行调整。  </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（二）基金托管人根据有关法律法规的规定及《基金合同》的约定，对基金投资、融资比例进行监督。基金托管人按下述比例和调整期限进行监督：</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 xml:space="preserve">（1）本基金投资组合中股票（含存托凭证）资产占基金资产的比例为80%—95%；港股通标的股票的投资比例为股票资产的0%-50%； </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 xml:space="preserve">（2）每个交易日日终在扣除股指期货合约、股票期权合约、国债期货合约所需缴纳的交易保证金后，现金或到期日在一年以内的政府债券不低于基金资产净值的5%。前述现金不包括结算备付金、存出保证金、应收申购款等； </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 xml:space="preserve">（3）本基金持有一家公司发行的证券（含存托凭证），其市值（若同时持有一家公司发行的A股和H股，则为A股与H股合计市值）不超过基金资产净值的10％； </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（4）本基金管理人管理</w:t>
      </w:r>
      <w:r>
        <w:rPr>
          <w:rFonts w:hint="eastAsia" w:ascii="宋体" w:hAnsi="宋体"/>
          <w:bCs/>
          <w:sz w:val="24"/>
        </w:rPr>
        <w:t>且由本基金托管人托管的</w:t>
      </w:r>
      <w:r>
        <w:rPr>
          <w:rFonts w:hint="eastAsia" w:ascii="宋体" w:hAnsi="宋体" w:cs="宋体"/>
          <w:sz w:val="24"/>
        </w:rPr>
        <w:t xml:space="preserve">全部基金持有一家公司发行的证券（含存托凭证），不超过该证券（若同时持有一家公司发行的A股和H股，则为A股与H股合计）的10％； </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 xml:space="preserve">（5）本基金投资于同一原始权益人的各类资产支持证券的比例，不得超过基金资产净值的10％； </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 xml:space="preserve">（6）本基金持有的全部资产支持证券，其市值不得超过基金资产净值的20％； </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 xml:space="preserve">（7）本基金持有的同一(指同一信用级别)资产支持证券的比例，不得超过该资产支持证券规模的10％； </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（8）本基金管理人管理</w:t>
      </w:r>
      <w:r>
        <w:rPr>
          <w:rFonts w:hint="eastAsia" w:ascii="宋体" w:hAnsi="宋体"/>
          <w:bCs/>
          <w:sz w:val="24"/>
        </w:rPr>
        <w:t>且由本基金托管人托管</w:t>
      </w:r>
      <w:r>
        <w:rPr>
          <w:rFonts w:hint="eastAsia" w:ascii="宋体" w:hAnsi="宋体" w:cs="宋体"/>
          <w:sz w:val="24"/>
        </w:rPr>
        <w:t xml:space="preserve">的全部基金投资于同一原始权益人的各类资产支持证券，不得超过其各类资产支持证券合计规模的10％； </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 xml:space="preserve">（9）本基金应投资于信用级别评级为BBB以上(含BBB)的资产支持证券。基金持有资产支持证券期间，如果其信用等级下降、不再符合投资标准，应在评级报告发布之日起3个月内予以全部卖出； </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 xml:space="preserve">（10）基金财产参与股票发行申购，本基金所申报的金额不超过本基金的总资产，本基金所申报的股票数量不超过拟发行股票公司本次发行股票的总量； </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 xml:space="preserve">（11）本基金参与股指期货、国债期货投资的，应遵循下列限制： </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 xml:space="preserve">1）本基金在任何交易日日终，持有的买入股指期货合约价值，不得超过基金资产净值的10%； </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 xml:space="preserve">2）每个交易日日终，本基金持有的买入股指期货和国债期货合约价值和有价证券市值之和，不得超过基金资产净值的95%；其中，有价证券指股票、债券（不含到期日在一年以内的政府债券）、资产支持证券、买入返售金融资产（不含质押式回购）等； </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 xml:space="preserve">3）本基金在任何交易日日终，持有的卖出股指期货合约价值不得超过基金持有的股票总市值的20%； </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 xml:space="preserve">4）本基金在任何交易日内交易（不包括平仓）的股指期货合约的成交金额不得超过上一交易日基金资产净值的20%； </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 xml:space="preserve">5）本基金所持有的股票市值和买入、卖出股指期货合约价值，合计（轧差计算）应当符合基金合同关于股票投资比例的有关规定； </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 xml:space="preserve">6）本基金在任何交易日日终，持有的买入国债期货合约价值，不得超过基金资产净值的15%； </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 xml:space="preserve">7）本基金在任何交易日日终，持有的卖出国债期货合约价值不得超过基金持有的债券总市值的30%； </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 xml:space="preserve">8）本基金在任何交易日内交易（不包括平仓）的国债期货合约的成交金额不得超过上一交易日基金资产净值的30%； </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 xml:space="preserve">（12）本基金参与股票期权交易的，需遵守下列规定： </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 xml:space="preserve">1）因未平仓的股票期权合约支付和收取的权利金总额不得超过基金资产净值的10%； </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 xml:space="preserve">2）未平仓的股票期权合约面值不得超过基金资产净值的20%。其中，合约面值按照行权价乘以合约乘数计算； </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 xml:space="preserve">（13）本基金资产总值不得超过基金资产净值的140%； </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（14）本基金管理人管理</w:t>
      </w:r>
      <w:r>
        <w:rPr>
          <w:rFonts w:hint="eastAsia" w:ascii="宋体" w:hAnsi="宋体"/>
          <w:bCs/>
          <w:sz w:val="24"/>
        </w:rPr>
        <w:t>且由本基金托管人托管</w:t>
      </w:r>
      <w:r>
        <w:rPr>
          <w:rFonts w:hint="eastAsia" w:ascii="宋体" w:hAnsi="宋体" w:cs="宋体"/>
          <w:sz w:val="24"/>
        </w:rPr>
        <w:t>的全部开放式基金持有一家上市公司发行的可流通股票，不得超过该上市公司可流通股票的15%；本基金管理人管理</w:t>
      </w:r>
      <w:r>
        <w:rPr>
          <w:rFonts w:hint="eastAsia" w:ascii="宋体" w:hAnsi="宋体"/>
          <w:bCs/>
          <w:sz w:val="24"/>
        </w:rPr>
        <w:t>且由本基金托管人托管的</w:t>
      </w:r>
      <w:r>
        <w:rPr>
          <w:rFonts w:hint="eastAsia" w:ascii="宋体" w:hAnsi="宋体" w:cs="宋体"/>
          <w:sz w:val="24"/>
        </w:rPr>
        <w:t xml:space="preserve">全部投资组合持有一家上市公司发行的可流通股票，不得超过该上市公司可流通股票的30%； </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 xml:space="preserve">（15）本基金主动投资于流动性受限资产的市值合计不得超过该基金资产净值的15%；因证券市场波动、上市公司股票停牌、基金规模变动等基金管理人之外的因素致使基金不符合该比例限制的，基金管理人不得主动新增流动性受限资产的投资； </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 xml:space="preserve">（16）本基金参与融资的，每个交易日日终，本基金持有的融资买入股票与其他有价证券市值之和，不得超过基金资产净值的95%； </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 xml:space="preserve">（17）本基金投资存托凭证的比例限制依照境内上市交易的股票执行，与境内上市交易的股票合并计算； </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 xml:space="preserve">（18）法律法规及中国证监会规定的和《基金合同》约定的其他投资限制。 </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 xml:space="preserve">除上述（2）、（9）、（15）情形之外，因证券、期货市场波动、证券发行人合并、基金规模变动等基金管理人之外的因素致使基金投资比例不符合上述规定投资比例的，基金管理人应当在10个交易日内进行调整，但法律法规或中国证监会规定的特殊情形除外。 </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 xml:space="preserve">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 </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 xml:space="preserve">法律法规或监管部门取消或变更上述限制，如适用于本基金，基金管理人在履行适当程序后，则本基金投资不再受相关限制，或以变更后的规定为准。  </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（三）基金托管人</w:t>
      </w:r>
      <w:bookmarkStart w:id="4" w:name="OLE_LINK1"/>
      <w:r>
        <w:rPr>
          <w:rFonts w:hint="eastAsia" w:ascii="宋体" w:hAnsi="宋体" w:cs="宋体"/>
          <w:sz w:val="24"/>
        </w:rPr>
        <w:t>根据有关法律法规的规定及《基金合同》的约定，</w:t>
      </w:r>
      <w:bookmarkEnd w:id="4"/>
      <w:r>
        <w:rPr>
          <w:rFonts w:hint="eastAsia" w:ascii="宋体" w:hAnsi="宋体" w:cs="宋体"/>
          <w:sz w:val="24"/>
        </w:rPr>
        <w:t>对本托管协议第十五条第（九）款基金投资禁止行为通过事后监督方式进行监督。</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法律、行政法规或监管部门取消或变更上述限制，如适用于本基金，在履行适当程序后，则本基金投资不再受相关限制或按变更后的规定执行。</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（四）基金托管人根据有关法律法规的规定及《基金合同》的约定，对基金管理人投资流通受限证券进行监督。</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基金管理人投资流通受限证券，应事先根据中国证监会相关规定，明确基金投资流通受限证券的比例，制订严格的投资决策流程和风险控制制度，防范流动性风险、法律风险和操作风险等各种风险。</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pPr>
        <w:spacing w:line="360" w:lineRule="auto"/>
        <w:ind w:firstLine="480" w:firstLineChars="200"/>
        <w:rPr>
          <w:rFonts w:hint="eastAsia" w:ascii="宋体" w:hAnsi="宋体" w:cs="宋体"/>
          <w:sz w:val="24"/>
        </w:rPr>
      </w:pPr>
      <w:r>
        <w:rPr>
          <w:rFonts w:hint="eastAsia" w:ascii="宋体" w:hAnsi="宋体" w:cs="宋体"/>
          <w:sz w:val="24"/>
        </w:rPr>
        <w:t>本基金投资的流通受限证券限于可由中国证券登记结算有限责任公司或中央国债登记结算有限责任公司负责登记和存管，并可在证券交易所或全国银行间债券市场交易的证券。</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本基金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本基金投资流通受限证券，不得预付任何形式的保证金。若有最新法律法规、监管政策变更规定的，根据最新法律法规、监管政策执行</w:t>
      </w:r>
    </w:p>
    <w:p>
      <w:pPr>
        <w:spacing w:line="360" w:lineRule="auto"/>
        <w:ind w:firstLine="480" w:firstLineChars="200"/>
        <w:rPr>
          <w:rFonts w:hint="eastAsia" w:ascii="宋体" w:hAnsi="宋体" w:cs="宋体"/>
          <w:sz w:val="24"/>
        </w:rPr>
      </w:pPr>
      <w:r>
        <w:rPr>
          <w:rFonts w:hint="eastAsia" w:ascii="宋体" w:hAnsi="宋体" w:cs="宋体"/>
          <w:sz w:val="24"/>
        </w:rPr>
        <w:t>2.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pPr>
        <w:spacing w:line="360" w:lineRule="auto"/>
        <w:ind w:firstLine="480" w:firstLineChars="200"/>
        <w:rPr>
          <w:rFonts w:hint="eastAsia" w:ascii="宋体" w:hAnsi="宋体" w:cs="宋体"/>
          <w:sz w:val="24"/>
        </w:rPr>
      </w:pPr>
      <w:r>
        <w:rPr>
          <w:rFonts w:hint="eastAsia" w:ascii="宋体" w:hAnsi="宋体" w:cs="宋体"/>
          <w:sz w:val="24"/>
        </w:rPr>
        <w:t>3.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pPr>
        <w:spacing w:line="360" w:lineRule="auto"/>
        <w:ind w:firstLine="480" w:firstLineChars="200"/>
        <w:rPr>
          <w:rFonts w:hint="eastAsia" w:ascii="宋体" w:hAnsi="宋体" w:cs="宋体"/>
          <w:sz w:val="24"/>
        </w:rPr>
      </w:pPr>
      <w:r>
        <w:rPr>
          <w:rFonts w:hint="eastAsia" w:ascii="宋体" w:hAnsi="宋体" w:cs="宋体"/>
          <w:sz w:val="24"/>
        </w:rPr>
        <w:t>（1）中国证监会批准发行非公开发行股票的批准文件。</w:t>
      </w:r>
    </w:p>
    <w:p>
      <w:pPr>
        <w:spacing w:line="360" w:lineRule="auto"/>
        <w:ind w:firstLine="480" w:firstLineChars="200"/>
        <w:rPr>
          <w:rFonts w:hint="eastAsia" w:ascii="宋体" w:hAnsi="宋体" w:cs="宋体"/>
          <w:sz w:val="24"/>
        </w:rPr>
      </w:pPr>
      <w:r>
        <w:rPr>
          <w:rFonts w:hint="eastAsia" w:ascii="宋体" w:hAnsi="宋体" w:cs="宋体"/>
          <w:sz w:val="24"/>
        </w:rPr>
        <w:t>（2）非公开发行股票有关发行数量、发行价格、锁定期等发行资料。</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（3）基金拟认购的数量、价格、总成本、账面价值。</w:t>
      </w:r>
    </w:p>
    <w:p>
      <w:pPr>
        <w:spacing w:line="360" w:lineRule="auto"/>
        <w:ind w:firstLine="480" w:firstLineChars="200"/>
        <w:rPr>
          <w:rFonts w:hint="eastAsia" w:ascii="宋体" w:hAnsi="宋体" w:cs="宋体"/>
          <w:sz w:val="24"/>
        </w:rPr>
      </w:pPr>
      <w:r>
        <w:rPr>
          <w:rFonts w:hint="eastAsia" w:ascii="宋体" w:hAnsi="宋体" w:cs="宋体"/>
          <w:sz w:val="24"/>
        </w:rPr>
        <w:t>4.基金管理人应在本基金投资非公开发行股票后两个交易日内，在中国证监会规定媒介披露所投资非公开发行股票的名称、数量、总成本、账面价值，以及总成本和账面价值占基金资产净值的比例、锁定期等信息。</w:t>
      </w:r>
    </w:p>
    <w:p>
      <w:pPr>
        <w:spacing w:line="360" w:lineRule="auto"/>
        <w:ind w:firstLine="480" w:firstLineChars="200"/>
        <w:rPr>
          <w:rFonts w:hint="eastAsia" w:ascii="宋体" w:hAnsi="宋体" w:cs="宋体"/>
          <w:sz w:val="24"/>
        </w:rPr>
      </w:pPr>
      <w:r>
        <w:rPr>
          <w:rFonts w:hint="eastAsia" w:ascii="宋体" w:hAnsi="宋体" w:cs="宋体"/>
          <w:sz w:val="24"/>
        </w:rPr>
        <w:t>本基金有关投资流通受限证券比例如违反有关限制规定，在合理期限内未能进行及时调整，基金管理人应在两个工作日内编制临时报告书，予以公告。</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5.相关法律法规对基金投资流通受限证券有新规定的，从其规定。</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五）基金托管人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六）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个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七）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（八）若基金托管人发现基金管理人依据交易程序已经生效的指令违反法律、行政法规和其他有关规定，或者违反《基金合同》约定的，应当及时通知基金管理人，由此造成的相应损失由基金管理人承担。</w:t>
      </w:r>
    </w:p>
    <w:p>
      <w:pPr>
        <w:adjustRightInd w:val="0"/>
        <w:snapToGrid w:val="0"/>
        <w:spacing w:line="360" w:lineRule="auto"/>
        <w:ind w:firstLine="480" w:firstLineChars="200"/>
        <w:rPr>
          <w:rFonts w:hint="eastAsia" w:ascii="宋体" w:hAnsi="宋体" w:cs="Arial"/>
          <w:sz w:val="24"/>
        </w:rPr>
      </w:pPr>
      <w:r>
        <w:rPr>
          <w:rFonts w:hint="eastAsia" w:ascii="宋体" w:hAnsi="宋体" w:cs="宋体"/>
          <w:sz w:val="24"/>
        </w:rPr>
        <w:t>（九）基金托管人发现基金管理人有重大违规行为，应及时报告中国证监会，同时通知基金管理人限期纠正，并将纠正结果报告中国证监会。基金管理人无正当理由，拒绝、阻挠基金托管人根据本托管协议规定行使监督权，或采取拖延、欺诈等手段妨碍基金托管人进行有效监督，情节严重或经基金托管人提出警告仍不改正的，基金托管人应报告中国证监会</w:t>
      </w:r>
      <w:r>
        <w:rPr>
          <w:rFonts w:hint="eastAsia" w:ascii="宋体" w:hAnsi="宋体" w:cs="Arial"/>
          <w:sz w:val="24"/>
        </w:rPr>
        <w:t>。</w:t>
      </w:r>
    </w:p>
    <w:p>
      <w:pPr>
        <w:spacing w:line="360" w:lineRule="auto"/>
        <w:rPr>
          <w:rFonts w:hint="eastAsia" w:ascii="宋体" w:hAnsi="宋体"/>
          <w:sz w:val="24"/>
        </w:rPr>
        <w:sectPr>
          <w:footerReference r:id="rId9" w:type="default"/>
          <w:pgSz w:w="11906" w:h="16838"/>
          <w:pgMar w:top="1418" w:right="1701" w:bottom="1418" w:left="1701" w:header="851" w:footer="992" w:gutter="0"/>
          <w:pgNumType w:start="1"/>
          <w:cols w:space="425" w:num="1"/>
          <w:docGrid w:type="lines" w:linePitch="312" w:charSpace="0"/>
        </w:sectPr>
      </w:pPr>
    </w:p>
    <w:p>
      <w:pPr>
        <w:pStyle w:val="3"/>
        <w:spacing w:line="360" w:lineRule="auto"/>
        <w:jc w:val="center"/>
        <w:rPr>
          <w:rFonts w:hint="eastAsia" w:ascii="宋体" w:hAnsi="宋体" w:eastAsia="宋体"/>
          <w:sz w:val="30"/>
        </w:rPr>
      </w:pPr>
      <w:bookmarkStart w:id="5" w:name="_Toc86737929"/>
      <w:bookmarkStart w:id="6" w:name="_Toc86223242"/>
      <w:bookmarkStart w:id="7" w:name="_Toc110761796"/>
      <w:bookmarkStart w:id="8" w:name="_Toc124325888"/>
      <w:bookmarkStart w:id="9" w:name="_Toc108512358"/>
      <w:bookmarkStart w:id="10" w:name="_Toc120435783"/>
      <w:bookmarkStart w:id="11" w:name="_Toc110765660"/>
      <w:bookmarkStart w:id="12" w:name="_Toc86726439"/>
      <w:bookmarkStart w:id="13" w:name="_Toc110830492"/>
      <w:bookmarkStart w:id="14" w:name="_Toc86225291"/>
      <w:bookmarkStart w:id="15" w:name="_Toc118972648"/>
      <w:bookmarkStart w:id="16" w:name="_Toc119402710"/>
      <w:bookmarkStart w:id="17" w:name="_Toc86649722"/>
      <w:bookmarkStart w:id="18" w:name="_Toc118774803"/>
      <w:bookmarkStart w:id="19" w:name="_Toc89163368"/>
      <w:bookmarkStart w:id="20" w:name="_Toc118212950"/>
      <w:bookmarkStart w:id="21" w:name="_Toc86727355"/>
      <w:r>
        <w:rPr>
          <w:rFonts w:hint="eastAsia" w:ascii="宋体" w:hAnsi="宋体" w:eastAsia="宋体"/>
          <w:sz w:val="30"/>
        </w:rPr>
        <w:t>四、基金管理人对基金托管人的业务核查</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pPr>
        <w:adjustRightInd w:val="0"/>
        <w:snapToGrid w:val="0"/>
        <w:spacing w:line="360" w:lineRule="auto"/>
        <w:ind w:firstLine="480"/>
        <w:rPr>
          <w:rFonts w:hint="eastAsia" w:ascii="宋体" w:hAnsi="宋体" w:cs="宋体"/>
          <w:sz w:val="24"/>
        </w:rPr>
      </w:pPr>
      <w:r>
        <w:rPr>
          <w:rFonts w:hint="eastAsia" w:ascii="宋体" w:hAnsi="宋体" w:cs="宋体"/>
          <w:sz w:val="24"/>
        </w:rPr>
        <w:t>（一）基金管理人对基金托管人履行托管职责情况进行核查，核查事项包括基金托管人安全保管基金财产、开设基金财产的资金账户和证券账户等投资所需账户、复核基金管理人计算的基金资产净值和各类基金份额净值、根据基金管理人指令办理清算交收、相关信息披露和监督基金投资运作等行为。</w:t>
      </w:r>
    </w:p>
    <w:p>
      <w:pPr>
        <w:adjustRightInd w:val="0"/>
        <w:snapToGrid w:val="0"/>
        <w:spacing w:line="360" w:lineRule="auto"/>
        <w:ind w:firstLine="480"/>
        <w:rPr>
          <w:rFonts w:hint="eastAsia" w:ascii="宋体" w:hAnsi="宋体" w:cs="宋体"/>
          <w:sz w:val="24"/>
        </w:rPr>
      </w:pPr>
      <w:r>
        <w:rPr>
          <w:rFonts w:hint="eastAsia" w:ascii="宋体" w:hAnsi="宋体" w:cs="宋体"/>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电话提醒或书面提示等方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pPr>
        <w:adjustRightInd w:val="0"/>
        <w:snapToGrid w:val="0"/>
        <w:spacing w:line="360" w:lineRule="auto"/>
        <w:ind w:firstLine="480"/>
        <w:rPr>
          <w:rFonts w:hint="eastAsia" w:ascii="宋体" w:hAnsi="宋体" w:cs="Arial"/>
          <w:sz w:val="24"/>
        </w:rPr>
      </w:pPr>
      <w:r>
        <w:rPr>
          <w:rFonts w:hint="eastAsia" w:ascii="宋体" w:hAnsi="宋体" w:cs="宋体"/>
          <w:sz w:val="24"/>
        </w:rPr>
        <w:t>（三）基金管理人发现基金托管人有重大违规行为，应及时报告中国证监会，同时通知基金托管人限期纠正，并将纠正结果报告中国证监会。基金托管人无正当理由，拒绝、阻挠基金管理人根据本协议规定行使监督权，或采取拖延、欺诈等手段妨碍基金管理人进行有效监督，情节严重或经基金管理人提出警告仍不改正的，基金管理人应报告中国证监会。</w:t>
      </w:r>
    </w:p>
    <w:p>
      <w:pPr>
        <w:spacing w:line="360" w:lineRule="auto"/>
        <w:rPr>
          <w:rFonts w:hint="eastAsia" w:ascii="宋体" w:hAnsi="宋体"/>
          <w:sz w:val="24"/>
        </w:rPr>
        <w:sectPr>
          <w:footerReference r:id="rId10" w:type="default"/>
          <w:pgSz w:w="11906" w:h="16838"/>
          <w:pgMar w:top="1418" w:right="1701" w:bottom="1418" w:left="1701" w:header="851" w:footer="992" w:gutter="0"/>
          <w:pgNumType w:start="1"/>
          <w:cols w:space="425" w:num="1"/>
          <w:docGrid w:type="lines" w:linePitch="312" w:charSpace="0"/>
        </w:sectPr>
      </w:pPr>
    </w:p>
    <w:p>
      <w:pPr>
        <w:pStyle w:val="3"/>
        <w:spacing w:line="360" w:lineRule="auto"/>
        <w:jc w:val="center"/>
        <w:rPr>
          <w:rFonts w:hint="eastAsia" w:ascii="宋体" w:hAnsi="宋体" w:eastAsia="宋体"/>
          <w:sz w:val="30"/>
        </w:rPr>
      </w:pPr>
      <w:bookmarkStart w:id="22" w:name="_Toc118212951"/>
      <w:bookmarkStart w:id="23" w:name="_Toc86737930"/>
      <w:bookmarkStart w:id="24" w:name="_Toc86223243"/>
      <w:bookmarkStart w:id="25" w:name="_Toc108512359"/>
      <w:bookmarkStart w:id="26" w:name="_Toc86726440"/>
      <w:bookmarkStart w:id="27" w:name="_Toc124325889"/>
      <w:bookmarkStart w:id="28" w:name="_Toc86204789"/>
      <w:bookmarkStart w:id="29" w:name="_Toc84133786"/>
      <w:bookmarkStart w:id="30" w:name="_Toc119402711"/>
      <w:bookmarkStart w:id="31" w:name="_Toc89163369"/>
      <w:bookmarkStart w:id="32" w:name="_Toc118774804"/>
      <w:bookmarkStart w:id="33" w:name="_Toc110761797"/>
      <w:bookmarkStart w:id="34" w:name="_Toc84234388"/>
      <w:bookmarkStart w:id="35" w:name="_Toc86225292"/>
      <w:bookmarkStart w:id="36" w:name="_Toc120435784"/>
      <w:bookmarkStart w:id="37" w:name="_Toc84234435"/>
      <w:bookmarkStart w:id="38" w:name="_Toc86649723"/>
      <w:bookmarkStart w:id="39" w:name="_Toc110830493"/>
      <w:bookmarkStart w:id="40" w:name="_Toc118972649"/>
      <w:bookmarkStart w:id="41" w:name="_Toc86727356"/>
      <w:bookmarkStart w:id="42" w:name="_Toc110765661"/>
      <w:r>
        <w:rPr>
          <w:rFonts w:hint="eastAsia" w:ascii="宋体" w:hAnsi="宋体" w:eastAsia="宋体"/>
          <w:sz w:val="30"/>
        </w:rPr>
        <w:t>五、基金财产的保管</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pPr>
        <w:adjustRightInd w:val="0"/>
        <w:snapToGrid w:val="0"/>
        <w:spacing w:line="360" w:lineRule="auto"/>
        <w:ind w:firstLine="480"/>
        <w:rPr>
          <w:rFonts w:hint="eastAsia" w:ascii="宋体" w:hAnsi="宋体" w:cs="Arial"/>
          <w:sz w:val="24"/>
        </w:rPr>
      </w:pPr>
      <w:r>
        <w:rPr>
          <w:rFonts w:hint="eastAsia" w:ascii="宋体" w:hAnsi="宋体" w:cs="Arial"/>
          <w:sz w:val="24"/>
        </w:rPr>
        <w:t>（一）基金财产保管的原则</w:t>
      </w:r>
    </w:p>
    <w:p>
      <w:pPr>
        <w:adjustRightInd w:val="0"/>
        <w:snapToGrid w:val="0"/>
        <w:spacing w:line="360" w:lineRule="auto"/>
        <w:ind w:firstLine="480"/>
        <w:rPr>
          <w:rFonts w:hint="eastAsia" w:ascii="宋体" w:hAnsi="宋体" w:cs="Arial"/>
          <w:sz w:val="24"/>
        </w:rPr>
      </w:pPr>
      <w:r>
        <w:rPr>
          <w:rFonts w:hint="eastAsia" w:ascii="宋体" w:hAnsi="宋体" w:cs="Arial"/>
          <w:sz w:val="24"/>
        </w:rPr>
        <w:t>1.基金财产应独立于基金管理人、基金托管人的固有财产。</w:t>
      </w:r>
    </w:p>
    <w:p>
      <w:pPr>
        <w:adjustRightInd w:val="0"/>
        <w:snapToGrid w:val="0"/>
        <w:spacing w:line="360" w:lineRule="auto"/>
        <w:ind w:firstLine="480"/>
        <w:rPr>
          <w:rFonts w:hint="eastAsia" w:ascii="宋体" w:hAnsi="宋体" w:cs="Arial"/>
          <w:sz w:val="24"/>
        </w:rPr>
      </w:pPr>
      <w:r>
        <w:rPr>
          <w:rFonts w:hint="eastAsia" w:ascii="宋体" w:hAnsi="宋体" w:cs="Arial"/>
          <w:sz w:val="24"/>
        </w:rPr>
        <w:t>2.基金托管人应安全保管基金财产。</w:t>
      </w:r>
    </w:p>
    <w:p>
      <w:pPr>
        <w:adjustRightInd w:val="0"/>
        <w:snapToGrid w:val="0"/>
        <w:spacing w:line="360" w:lineRule="auto"/>
        <w:ind w:firstLine="480"/>
        <w:rPr>
          <w:rFonts w:hint="eastAsia" w:ascii="宋体" w:hAnsi="宋体" w:cs="Arial"/>
          <w:sz w:val="24"/>
        </w:rPr>
      </w:pPr>
      <w:r>
        <w:rPr>
          <w:rFonts w:hint="eastAsia" w:ascii="宋体" w:hAnsi="宋体" w:cs="Arial"/>
          <w:sz w:val="24"/>
        </w:rPr>
        <w:t>3.基金托管人按照规定开设基金财产的资金账户和证券账户</w:t>
      </w:r>
      <w:r>
        <w:rPr>
          <w:rFonts w:hint="eastAsia"/>
          <w:bCs/>
          <w:sz w:val="24"/>
        </w:rPr>
        <w:t>等投资所需账户。</w:t>
      </w:r>
    </w:p>
    <w:p>
      <w:pPr>
        <w:adjustRightInd w:val="0"/>
        <w:snapToGrid w:val="0"/>
        <w:spacing w:line="360" w:lineRule="auto"/>
        <w:ind w:firstLine="480"/>
        <w:rPr>
          <w:rFonts w:hint="eastAsia" w:ascii="宋体" w:hAnsi="宋体" w:cs="Arial"/>
          <w:sz w:val="24"/>
        </w:rPr>
      </w:pPr>
      <w:r>
        <w:rPr>
          <w:rFonts w:hint="eastAsia" w:ascii="宋体" w:hAnsi="宋体" w:cs="Arial"/>
          <w:sz w:val="24"/>
        </w:rPr>
        <w:t>4.基金托管人对所托管的不同基金财产分别设置账户，独立核算，确保基金财产的完整与独立。</w:t>
      </w:r>
    </w:p>
    <w:p>
      <w:pPr>
        <w:adjustRightInd w:val="0"/>
        <w:snapToGrid w:val="0"/>
        <w:spacing w:line="360" w:lineRule="auto"/>
        <w:ind w:firstLine="480"/>
        <w:rPr>
          <w:rFonts w:hint="eastAsia" w:ascii="宋体" w:hAnsi="宋体" w:cs="Arial"/>
          <w:sz w:val="24"/>
        </w:rPr>
      </w:pPr>
      <w:r>
        <w:rPr>
          <w:rFonts w:hint="eastAsia" w:ascii="宋体" w:hAnsi="宋体" w:cs="Arial"/>
          <w:sz w:val="24"/>
        </w:rPr>
        <w:t>5.基金托管人按照《基金合同》和本协议的约定保管基金财产，如有特殊情况双方可另行协商解决。基金</w:t>
      </w:r>
      <w:r>
        <w:rPr>
          <w:rFonts w:hint="eastAsia" w:ascii="宋体" w:hAnsi="宋体"/>
          <w:sz w:val="24"/>
        </w:rPr>
        <w:t>托管人未经基金管理人的指令，不得自行运用、处分、分配本基金的任何资产（不包含基金托管人依据中国证券登记结算有限责任公司结算数据完成场内交易交收、开户银行或交易/登记结算机构扣收交易费、结算费和账户维护费等费用）。</w:t>
      </w:r>
    </w:p>
    <w:p>
      <w:pPr>
        <w:adjustRightInd w:val="0"/>
        <w:snapToGrid w:val="0"/>
        <w:spacing w:line="360" w:lineRule="auto"/>
        <w:ind w:firstLine="480"/>
        <w:rPr>
          <w:rFonts w:hint="eastAsia" w:ascii="宋体" w:hAnsi="宋体" w:cs="Arial"/>
          <w:sz w:val="24"/>
        </w:rPr>
      </w:pPr>
      <w:r>
        <w:rPr>
          <w:rFonts w:hint="eastAsia" w:ascii="宋体" w:hAnsi="宋体" w:cs="Arial"/>
          <w:sz w:val="24"/>
        </w:rPr>
        <w:t>6.对于因为基金投资产生的应收资产，应由基金管理人负责与有关当事人确定到账日期并通知基金托管人，到账日基金财产没有到达基金账户的，基金托管人应及时通知并</w:t>
      </w:r>
      <w:r>
        <w:rPr>
          <w:rFonts w:ascii="宋体" w:hAnsi="宋体" w:cs="Arial"/>
          <w:sz w:val="24"/>
        </w:rPr>
        <w:t>配合</w:t>
      </w:r>
      <w:r>
        <w:rPr>
          <w:rFonts w:hint="eastAsia" w:ascii="宋体" w:hAnsi="宋体" w:cs="Arial"/>
          <w:sz w:val="24"/>
        </w:rPr>
        <w:t>基金管理人采取措施进行催收。由此给基金财产造成损失的，基金管理人应负责向有关当事人追偿基金财产的损失，基金托管人对基金管理人的追偿行为应予以必要的协助与配合，但对基金财产的损失不承担任何责任。</w:t>
      </w:r>
    </w:p>
    <w:p>
      <w:pPr>
        <w:adjustRightInd w:val="0"/>
        <w:snapToGrid w:val="0"/>
        <w:spacing w:line="360" w:lineRule="auto"/>
        <w:ind w:firstLine="480"/>
        <w:rPr>
          <w:rFonts w:hint="eastAsia" w:ascii="宋体" w:hAnsi="宋体" w:cs="Arial"/>
          <w:sz w:val="24"/>
        </w:rPr>
      </w:pPr>
      <w:r>
        <w:rPr>
          <w:rFonts w:hint="eastAsia" w:ascii="宋体" w:hAnsi="宋体" w:cs="Arial"/>
          <w:sz w:val="24"/>
        </w:rPr>
        <w:t>7.除依据法律法规和《基金合同》的规定外，基金托管人不得委托第三人托管基金财产。</w:t>
      </w:r>
    </w:p>
    <w:p>
      <w:pPr>
        <w:adjustRightInd w:val="0"/>
        <w:snapToGrid w:val="0"/>
        <w:spacing w:line="360" w:lineRule="auto"/>
        <w:ind w:firstLine="480"/>
        <w:rPr>
          <w:rFonts w:hint="eastAsia" w:ascii="宋体" w:hAnsi="宋体" w:cs="Arial"/>
          <w:sz w:val="24"/>
        </w:rPr>
      </w:pPr>
      <w:r>
        <w:rPr>
          <w:rFonts w:hint="eastAsia" w:ascii="宋体" w:hAnsi="宋体" w:cs="Arial"/>
          <w:sz w:val="24"/>
        </w:rPr>
        <w:t>（二）基金募集期间及募集资金的验资</w:t>
      </w:r>
    </w:p>
    <w:p>
      <w:pPr>
        <w:adjustRightInd w:val="0"/>
        <w:snapToGrid w:val="0"/>
        <w:spacing w:line="360" w:lineRule="auto"/>
        <w:ind w:firstLine="480"/>
        <w:rPr>
          <w:rFonts w:hint="eastAsia" w:ascii="宋体" w:hAnsi="宋体" w:cs="Arial"/>
          <w:sz w:val="24"/>
        </w:rPr>
      </w:pPr>
      <w:r>
        <w:rPr>
          <w:rFonts w:hint="eastAsia" w:ascii="宋体" w:hAnsi="宋体" w:cs="Arial"/>
          <w:sz w:val="24"/>
        </w:rPr>
        <w:t>1.基金募集期间募集的资金应存于基金管理人在具有托管资格的商业银行开立的“基金募集专户”。该账户由基金管理人开立并管理。</w:t>
      </w:r>
    </w:p>
    <w:p>
      <w:pPr>
        <w:adjustRightInd w:val="0"/>
        <w:snapToGrid w:val="0"/>
        <w:spacing w:line="360" w:lineRule="auto"/>
        <w:ind w:firstLine="480"/>
        <w:rPr>
          <w:rFonts w:hint="eastAsia" w:ascii="宋体" w:hAnsi="宋体" w:cs="Arial"/>
          <w:sz w:val="24"/>
        </w:rPr>
      </w:pPr>
      <w:r>
        <w:rPr>
          <w:rFonts w:hint="eastAsia" w:ascii="宋体" w:hAnsi="宋体" w:cs="Arial"/>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w:t>
      </w:r>
      <w:r>
        <w:rPr>
          <w:rFonts w:hint="eastAsia" w:ascii="宋体" w:hAnsi="宋体" w:cs="Arial"/>
          <w:bCs/>
          <w:sz w:val="24"/>
        </w:rPr>
        <w:t>符合《中华人民共和国证券法》规定</w:t>
      </w:r>
      <w:r>
        <w:rPr>
          <w:rFonts w:hint="eastAsia" w:ascii="宋体" w:hAnsi="宋体" w:cs="Arial"/>
          <w:sz w:val="24"/>
        </w:rPr>
        <w:t>的会计师事务所进行验资，出具验资报告。出具的验资报告由参加验资的2名或2名以上中国注册会计师签字方为有效。</w:t>
      </w:r>
    </w:p>
    <w:p>
      <w:pPr>
        <w:adjustRightInd w:val="0"/>
        <w:snapToGrid w:val="0"/>
        <w:spacing w:line="360" w:lineRule="auto"/>
        <w:ind w:firstLine="480"/>
        <w:rPr>
          <w:rFonts w:hint="eastAsia" w:ascii="宋体" w:hAnsi="宋体" w:cs="Arial"/>
          <w:sz w:val="24"/>
        </w:rPr>
      </w:pPr>
      <w:r>
        <w:rPr>
          <w:rFonts w:hint="eastAsia" w:ascii="宋体" w:hAnsi="宋体" w:cs="Arial"/>
          <w:sz w:val="24"/>
        </w:rPr>
        <w:t>3.若基金募集期限届满，未能达到《基金合同》生效的条件，由基金管理人按规定办理退款等事宜，基金托管人应提供必要协助。</w:t>
      </w:r>
    </w:p>
    <w:p>
      <w:pPr>
        <w:adjustRightInd w:val="0"/>
        <w:snapToGrid w:val="0"/>
        <w:spacing w:line="360" w:lineRule="auto"/>
        <w:ind w:firstLine="480"/>
        <w:rPr>
          <w:rFonts w:hint="eastAsia" w:ascii="宋体" w:hAnsi="宋体" w:cs="Arial"/>
          <w:sz w:val="24"/>
        </w:rPr>
      </w:pPr>
      <w:r>
        <w:rPr>
          <w:rFonts w:hint="eastAsia" w:ascii="宋体" w:hAnsi="宋体" w:cs="Arial"/>
          <w:sz w:val="24"/>
        </w:rPr>
        <w:t>（三）基金托管资金账户的开立和管理</w:t>
      </w:r>
    </w:p>
    <w:p>
      <w:pPr>
        <w:adjustRightInd w:val="0"/>
        <w:snapToGrid w:val="0"/>
        <w:spacing w:line="360" w:lineRule="auto"/>
        <w:ind w:firstLine="480"/>
        <w:rPr>
          <w:rFonts w:hint="eastAsia" w:ascii="宋体" w:hAnsi="宋体" w:cs="Arial"/>
          <w:sz w:val="24"/>
        </w:rPr>
      </w:pPr>
      <w:r>
        <w:rPr>
          <w:rFonts w:hint="eastAsia" w:ascii="宋体" w:hAnsi="宋体" w:cs="Arial"/>
          <w:sz w:val="24"/>
        </w:rPr>
        <w:t>1.基金托管人应以本基金的名义在其营业机构开立基金的托管资金账户，并根据基金管理人合法合规的指令办理资金收付。本基金的银行预留印鉴由基金托管人保管和使用。</w:t>
      </w:r>
    </w:p>
    <w:p>
      <w:pPr>
        <w:adjustRightInd w:val="0"/>
        <w:snapToGrid w:val="0"/>
        <w:spacing w:line="360" w:lineRule="auto"/>
        <w:ind w:firstLine="480"/>
        <w:rPr>
          <w:rFonts w:hint="eastAsia" w:ascii="宋体" w:hAnsi="宋体" w:cs="Arial"/>
          <w:sz w:val="24"/>
        </w:rPr>
      </w:pPr>
      <w:r>
        <w:rPr>
          <w:rFonts w:hint="eastAsia" w:ascii="宋体" w:hAnsi="宋体" w:cs="Arial"/>
          <w:sz w:val="24"/>
        </w:rPr>
        <w:t>2.基金托管资金账户的开立和使用，限于满足开展本基金业务的需要。基金托管人和基金管理人不得假借本基金的名义开立任何其他托管资金账户；亦不得使用基金的任何账户进行本基金业务以外的活动。</w:t>
      </w:r>
    </w:p>
    <w:p>
      <w:pPr>
        <w:adjustRightInd w:val="0"/>
        <w:snapToGrid w:val="0"/>
        <w:spacing w:line="360" w:lineRule="auto"/>
        <w:ind w:firstLine="480"/>
        <w:rPr>
          <w:rFonts w:hint="eastAsia" w:ascii="宋体" w:hAnsi="宋体" w:cs="Arial"/>
          <w:sz w:val="24"/>
        </w:rPr>
      </w:pPr>
      <w:r>
        <w:rPr>
          <w:rFonts w:hint="eastAsia" w:ascii="宋体" w:hAnsi="宋体" w:cs="Arial"/>
          <w:sz w:val="24"/>
        </w:rPr>
        <w:t>3.基金托管资金账户的开立和管理应符合银行业监督管理机构的有关规定。</w:t>
      </w:r>
    </w:p>
    <w:p>
      <w:pPr>
        <w:adjustRightInd w:val="0"/>
        <w:snapToGrid w:val="0"/>
        <w:spacing w:line="360" w:lineRule="auto"/>
        <w:ind w:firstLine="480"/>
        <w:rPr>
          <w:rFonts w:hint="eastAsia" w:ascii="宋体" w:hAnsi="宋体" w:cs="Arial"/>
          <w:sz w:val="24"/>
        </w:rPr>
      </w:pPr>
      <w:r>
        <w:rPr>
          <w:rFonts w:hint="eastAsia" w:ascii="宋体" w:hAnsi="宋体" w:cs="Arial"/>
          <w:sz w:val="24"/>
        </w:rPr>
        <w:t>4.在符合法律法规规定的条件下，基金托管人可以通过基金托管人专用账户办理基金资产的支付。</w:t>
      </w:r>
    </w:p>
    <w:p>
      <w:pPr>
        <w:adjustRightInd w:val="0"/>
        <w:snapToGrid w:val="0"/>
        <w:spacing w:line="360" w:lineRule="auto"/>
        <w:ind w:firstLine="480"/>
        <w:rPr>
          <w:rFonts w:hint="eastAsia" w:ascii="宋体" w:hAnsi="宋体" w:cs="Arial"/>
          <w:sz w:val="24"/>
        </w:rPr>
      </w:pPr>
      <w:r>
        <w:rPr>
          <w:rFonts w:hint="eastAsia" w:ascii="宋体" w:hAnsi="宋体" w:cs="Arial"/>
          <w:sz w:val="24"/>
        </w:rPr>
        <w:t>5.管理人应于托管产品清算后及时完成收益兑付、费用结清及其他应收应付款项资金划转，在确保后续不再发生款项进出后的10个工作日内向托管人发出销户申请。</w:t>
      </w:r>
    </w:p>
    <w:p>
      <w:pPr>
        <w:adjustRightInd w:val="0"/>
        <w:snapToGrid w:val="0"/>
        <w:spacing w:line="360" w:lineRule="auto"/>
        <w:ind w:firstLine="480"/>
        <w:rPr>
          <w:rFonts w:hint="eastAsia" w:ascii="宋体" w:hAnsi="宋体" w:cs="Arial"/>
          <w:sz w:val="24"/>
        </w:rPr>
      </w:pPr>
      <w:r>
        <w:rPr>
          <w:rFonts w:hint="eastAsia" w:ascii="宋体" w:hAnsi="宋体" w:cs="Arial"/>
          <w:sz w:val="24"/>
        </w:rPr>
        <w:t>（四）基金证券账户和结算备付金账户的开立和管理</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1.基金托管人在中国证券登记结算有限责任公司为基金开立基金托管人与基金联名的证券账户。</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3.基金证券账户的开立和证券账户卡的保管由基金托管人负责，账户资产的管理和运用由基金管理人负责。</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证券账户开户费由本基金财产承担。此项开户费由基金管理人先行垫付，待本基金启始运营后，基金管理人可向基金托管人发送划款指令,将代垫开户费从本基金托管资金账户中扣还基金管理人。</w:t>
      </w:r>
    </w:p>
    <w:p>
      <w:pPr>
        <w:adjustRightInd w:val="0"/>
        <w:snapToGrid w:val="0"/>
        <w:spacing w:line="360" w:lineRule="auto"/>
        <w:ind w:firstLine="480"/>
        <w:rPr>
          <w:rFonts w:hint="eastAsia" w:ascii="宋体" w:hAnsi="宋体" w:cs="Arial"/>
          <w:sz w:val="24"/>
        </w:rPr>
      </w:pPr>
      <w:r>
        <w:rPr>
          <w:rFonts w:hint="eastAsia" w:ascii="宋体" w:hAnsi="宋体" w:cs="Arial"/>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pPr>
        <w:adjustRightInd w:val="0"/>
        <w:snapToGrid w:val="0"/>
        <w:spacing w:line="360" w:lineRule="auto"/>
        <w:ind w:firstLine="480"/>
        <w:rPr>
          <w:rFonts w:hint="eastAsia" w:ascii="宋体" w:hAnsi="宋体" w:cs="Arial"/>
          <w:sz w:val="24"/>
        </w:rPr>
      </w:pPr>
      <w:r>
        <w:rPr>
          <w:rFonts w:hint="eastAsia" w:ascii="宋体" w:hAnsi="宋体" w:cs="Arial"/>
          <w:sz w:val="24"/>
        </w:rPr>
        <w:t>5.账户注销时，在遵守中国证券登记结算有限责任公司的相关规定下，由基金管理人和基金托管人协商确认主要办理人。账户注销期间，主要办理人如需另一方提供配合的，另一方应予以配合。</w:t>
      </w:r>
    </w:p>
    <w:p>
      <w:pPr>
        <w:adjustRightInd w:val="0"/>
        <w:snapToGrid w:val="0"/>
        <w:spacing w:line="360" w:lineRule="auto"/>
        <w:ind w:firstLine="480"/>
        <w:rPr>
          <w:rFonts w:hint="eastAsia" w:ascii="宋体" w:hAnsi="宋体" w:cs="Arial"/>
          <w:sz w:val="24"/>
        </w:rPr>
      </w:pPr>
      <w:r>
        <w:rPr>
          <w:rFonts w:hint="eastAsia" w:ascii="宋体" w:hAnsi="宋体" w:cs="Arial"/>
          <w:sz w:val="24"/>
        </w:rPr>
        <w:t>6.若中国证监会或其他监管机构在本托管协议订立日之后允许基金从事其他投资品种的投资业务，涉及相关账户的开立、使用的，若无相关规定，则基金托管人比照上述关于账户开立、使用的规定执行。</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（五）银行间账户的开设和管理</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基金合同》生效后，基金管理人负责以基金的名义申请并取得进入全国银行间同业拆借市场的交易资格，并代表基金进行交易；基金托管人根据中国人民银行、银行间市场登记结算机构的有关规定，以本基金的名义，在银行间市场登记结算机构开立债券托管账户和资金结算专户，并代表基金进行银行间市场债券的结算。基金管理人代表基金签订全国银行间债券市场债券回购主协议。</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（六）其他账户的开立和管理</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1.在本托管协议订立日之后，本基金被允许从事符合法律法规规定和《基金合同》约定的其他投资品种的投资业务时，如果涉及相关账户的开设和使用，由基金管理人协助基金托管人根据有关法律法规的规定和《基金合同》的约定，开立有关账户。该账户按有关规则使用并管理。</w:t>
      </w:r>
    </w:p>
    <w:p>
      <w:pPr>
        <w:adjustRightInd w:val="0"/>
        <w:snapToGrid w:val="0"/>
        <w:spacing w:line="360" w:lineRule="auto"/>
        <w:ind w:firstLine="480"/>
        <w:rPr>
          <w:rFonts w:hint="eastAsia" w:ascii="宋体" w:hAnsi="宋体" w:cs="Arial"/>
          <w:sz w:val="24"/>
        </w:rPr>
      </w:pPr>
      <w:r>
        <w:rPr>
          <w:rFonts w:hint="eastAsia" w:ascii="宋体" w:hAnsi="宋体" w:cs="Arial"/>
          <w:sz w:val="24"/>
        </w:rPr>
        <w:t>2.法律法规等有关规定对相关账户的开立和管理另有规定的，从其规定办理。</w:t>
      </w:r>
    </w:p>
    <w:p>
      <w:pPr>
        <w:adjustRightInd w:val="0"/>
        <w:snapToGrid w:val="0"/>
        <w:spacing w:line="360" w:lineRule="auto"/>
        <w:ind w:firstLine="480"/>
        <w:rPr>
          <w:rFonts w:hint="eastAsia" w:ascii="宋体" w:hAnsi="宋体" w:cs="Arial"/>
          <w:sz w:val="24"/>
        </w:rPr>
      </w:pPr>
      <w:r>
        <w:rPr>
          <w:rFonts w:hint="eastAsia" w:ascii="宋体" w:hAnsi="宋体" w:cs="Arial"/>
          <w:sz w:val="24"/>
        </w:rPr>
        <w:t>（七）基金财产投资的有关有价凭证等的保管</w:t>
      </w:r>
    </w:p>
    <w:p>
      <w:pPr>
        <w:adjustRightInd w:val="0"/>
        <w:snapToGrid w:val="0"/>
        <w:spacing w:line="360" w:lineRule="auto"/>
        <w:ind w:firstLine="480" w:firstLineChars="200"/>
        <w:rPr>
          <w:rFonts w:hint="eastAsia" w:ascii="宋体" w:hAnsi="宋体" w:cs="Arial"/>
        </w:rPr>
      </w:pPr>
      <w:r>
        <w:rPr>
          <w:rFonts w:hint="eastAsia" w:ascii="宋体" w:hAnsi="宋体" w:cs="Arial"/>
          <w:sz w:val="24"/>
        </w:rPr>
        <w:t>基金财产投资的有关实物证券、银行存款开户证实书等有价凭证由基金托管人存放于基金托管人的保管库，也可存入法律法规有关规定允许的各类代保管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（八）与基金财产有关的重大合同的保管</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w:t>
      </w:r>
      <w:r>
        <w:rPr>
          <w:rFonts w:ascii="宋体" w:hAnsi="宋体" w:cs="Arial"/>
          <w:sz w:val="24"/>
        </w:rPr>
        <w:t>20</w:t>
      </w:r>
      <w:r>
        <w:rPr>
          <w:rFonts w:hint="eastAsia" w:ascii="宋体" w:hAnsi="宋体" w:cs="Arial"/>
          <w:sz w:val="24"/>
        </w:rPr>
        <w:t>年，法律法规或监管部门另有规定的除外。</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对于无法取得二份以上的正本的，基金管理人应向基金托管人提供合同传真件或复印件并加盖公章，未经双方协商一致，合同原件不得转移。</w:t>
      </w:r>
    </w:p>
    <w:p>
      <w:pPr>
        <w:adjustRightInd w:val="0"/>
        <w:snapToGrid w:val="0"/>
        <w:spacing w:line="360" w:lineRule="auto"/>
        <w:ind w:firstLine="600" w:firstLineChars="200"/>
        <w:rPr>
          <w:rFonts w:hint="eastAsia" w:ascii="宋体" w:hAnsi="宋体"/>
          <w:sz w:val="30"/>
          <w:szCs w:val="30"/>
        </w:rPr>
      </w:pPr>
    </w:p>
    <w:p>
      <w:pPr>
        <w:spacing w:line="360" w:lineRule="auto"/>
        <w:rPr>
          <w:rFonts w:hint="eastAsia" w:ascii="宋体" w:hAnsi="宋体"/>
          <w:sz w:val="24"/>
        </w:rPr>
        <w:sectPr>
          <w:footerReference r:id="rId11" w:type="default"/>
          <w:pgSz w:w="11906" w:h="16838"/>
          <w:pgMar w:top="1418" w:right="1701" w:bottom="1418" w:left="1701" w:header="851" w:footer="992" w:gutter="0"/>
          <w:pgNumType w:start="1"/>
          <w:cols w:space="425" w:num="1"/>
          <w:docGrid w:type="lines" w:linePitch="312" w:charSpace="0"/>
        </w:sectPr>
      </w:pPr>
    </w:p>
    <w:p>
      <w:pPr>
        <w:pStyle w:val="3"/>
        <w:spacing w:line="360" w:lineRule="auto"/>
        <w:jc w:val="center"/>
        <w:rPr>
          <w:rFonts w:hint="eastAsia" w:ascii="宋体" w:hAnsi="宋体" w:eastAsia="宋体"/>
          <w:sz w:val="30"/>
        </w:rPr>
      </w:pPr>
      <w:bookmarkStart w:id="43" w:name="_Toc84234436"/>
      <w:bookmarkStart w:id="44" w:name="_Toc119402712"/>
      <w:bookmarkStart w:id="45" w:name="_Toc84133787"/>
      <w:bookmarkStart w:id="46" w:name="_Toc86727357"/>
      <w:bookmarkStart w:id="47" w:name="_Toc124325890"/>
      <w:bookmarkStart w:id="48" w:name="_Toc89163370"/>
      <w:bookmarkStart w:id="49" w:name="_Toc110765662"/>
      <w:bookmarkStart w:id="50" w:name="_Toc118212952"/>
      <w:bookmarkStart w:id="51" w:name="_Toc118972650"/>
      <w:bookmarkStart w:id="52" w:name="_Toc86737931"/>
      <w:bookmarkStart w:id="53" w:name="_Toc86225293"/>
      <w:bookmarkStart w:id="54" w:name="_Toc118774805"/>
      <w:bookmarkStart w:id="55" w:name="_Toc110761798"/>
      <w:bookmarkStart w:id="56" w:name="_Toc84234389"/>
      <w:bookmarkStart w:id="57" w:name="_Toc110830494"/>
      <w:bookmarkStart w:id="58" w:name="_Toc120435785"/>
      <w:bookmarkStart w:id="59" w:name="_Toc86204790"/>
      <w:bookmarkStart w:id="60" w:name="_Toc108512360"/>
      <w:bookmarkStart w:id="61" w:name="_Toc86649724"/>
      <w:bookmarkStart w:id="62" w:name="_Toc86726441"/>
      <w:bookmarkStart w:id="63" w:name="_Toc86223244"/>
      <w:r>
        <w:rPr>
          <w:rFonts w:hint="eastAsia" w:ascii="宋体" w:hAnsi="宋体" w:eastAsia="宋体"/>
          <w:sz w:val="30"/>
        </w:rPr>
        <w:t>六、指令的发送、确认及执行</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pPr>
        <w:adjustRightInd w:val="0"/>
        <w:snapToGrid w:val="0"/>
        <w:spacing w:line="360" w:lineRule="auto"/>
        <w:ind w:firstLine="480"/>
        <w:rPr>
          <w:rFonts w:hint="eastAsia" w:ascii="宋体" w:hAnsi="宋体" w:cs="Arial"/>
          <w:sz w:val="24"/>
        </w:rPr>
      </w:pPr>
      <w:r>
        <w:rPr>
          <w:rFonts w:hint="eastAsia" w:ascii="宋体" w:hAnsi="宋体" w:cs="Arial"/>
          <w:sz w:val="24"/>
        </w:rPr>
        <w:t>基金管理人在运用基金财产时向基金托管人发送资金划拨及其他款项付款指令，基金托管人执行基金管理人的指令、办理基金名下的资金往来等有关事项。</w:t>
      </w:r>
    </w:p>
    <w:p>
      <w:pPr>
        <w:adjustRightInd w:val="0"/>
        <w:snapToGrid w:val="0"/>
        <w:spacing w:line="360" w:lineRule="auto"/>
        <w:ind w:firstLine="480"/>
        <w:rPr>
          <w:rFonts w:hint="eastAsia" w:ascii="宋体" w:hAnsi="宋体" w:cs="Arial"/>
          <w:sz w:val="24"/>
        </w:rPr>
      </w:pPr>
      <w:r>
        <w:rPr>
          <w:rFonts w:hint="eastAsia" w:ascii="宋体" w:hAnsi="宋体" w:cs="Arial"/>
          <w:sz w:val="24"/>
        </w:rPr>
        <w:t>（一）基金管理人对发送指令人员的书面授权</w:t>
      </w:r>
    </w:p>
    <w:p>
      <w:pPr>
        <w:adjustRightInd w:val="0"/>
        <w:snapToGrid w:val="0"/>
        <w:spacing w:line="360" w:lineRule="auto"/>
        <w:ind w:firstLine="480"/>
        <w:rPr>
          <w:rFonts w:hint="eastAsia" w:ascii="宋体" w:hAnsi="宋体" w:cs="Arial"/>
          <w:sz w:val="24"/>
        </w:rPr>
      </w:pPr>
      <w:r>
        <w:rPr>
          <w:rFonts w:hint="eastAsia" w:ascii="宋体" w:hAnsi="宋体" w:cs="Arial"/>
          <w:sz w:val="24"/>
        </w:rPr>
        <w:t>1.基金管理人应指定专人向基金托管人发送指令。</w:t>
      </w:r>
    </w:p>
    <w:p>
      <w:pPr>
        <w:adjustRightInd w:val="0"/>
        <w:snapToGrid w:val="0"/>
        <w:spacing w:line="360" w:lineRule="auto"/>
        <w:ind w:firstLine="480"/>
        <w:rPr>
          <w:rFonts w:hint="eastAsia" w:ascii="宋体" w:hAnsi="宋体" w:cs="Arial"/>
          <w:sz w:val="24"/>
        </w:rPr>
      </w:pPr>
      <w:r>
        <w:rPr>
          <w:rFonts w:hint="eastAsia" w:ascii="宋体" w:hAnsi="宋体" w:cs="Arial"/>
          <w:sz w:val="24"/>
        </w:rPr>
        <w:t>2.基金管理人应向基金托管人提供书面授权文件原件，内容包括被授权人名单、预留印鉴及被授权人签字样本，授权文件应注明被授权人相应的权限，并加盖单位公章。</w:t>
      </w:r>
    </w:p>
    <w:p>
      <w:pPr>
        <w:adjustRightInd w:val="0"/>
        <w:snapToGrid w:val="0"/>
        <w:spacing w:line="360" w:lineRule="auto"/>
        <w:ind w:firstLine="480"/>
        <w:rPr>
          <w:rFonts w:hint="eastAsia" w:ascii="宋体" w:hAnsi="宋体" w:cs="Arial"/>
          <w:sz w:val="24"/>
        </w:rPr>
      </w:pPr>
      <w:r>
        <w:rPr>
          <w:rFonts w:hint="eastAsia" w:ascii="宋体" w:hAnsi="宋体" w:cs="Arial"/>
          <w:sz w:val="24"/>
        </w:rPr>
        <w:t>3.基金托管人在收到授权文件原件并经电话确认后，授权文件即生效。如果授权文件中载明具体生效时间的，该生效时间不得早于基金托管人收到授权文件并经电话确认的时点。如早于前述</w:t>
      </w:r>
      <w:r>
        <w:rPr>
          <w:rFonts w:ascii="宋体" w:hAnsi="宋体" w:cs="Arial"/>
          <w:sz w:val="24"/>
        </w:rPr>
        <w:t>时间</w:t>
      </w:r>
      <w:r>
        <w:rPr>
          <w:rFonts w:hint="eastAsia" w:ascii="宋体" w:hAnsi="宋体" w:cs="Arial"/>
          <w:sz w:val="24"/>
        </w:rPr>
        <w:t>，则以基金托管人收到授权文件并经电话确认的时点为授权文件的生效时间。</w:t>
      </w:r>
    </w:p>
    <w:p>
      <w:pPr>
        <w:adjustRightInd w:val="0"/>
        <w:snapToGrid w:val="0"/>
        <w:spacing w:line="360" w:lineRule="auto"/>
        <w:ind w:firstLine="480"/>
        <w:rPr>
          <w:rFonts w:hint="eastAsia" w:ascii="宋体" w:hAnsi="宋体" w:cs="Arial"/>
          <w:sz w:val="24"/>
        </w:rPr>
      </w:pPr>
      <w:r>
        <w:rPr>
          <w:rFonts w:hint="eastAsia" w:ascii="宋体" w:hAnsi="宋体" w:cs="Arial"/>
          <w:sz w:val="24"/>
        </w:rPr>
        <w:t>4.基金管理人和基金托管人对授权文件负有保密义务，其内容不得向被授权人及相关操作人员以外的任何人泄露。但法律法规规定或有权机关要求的除外。</w:t>
      </w:r>
    </w:p>
    <w:p>
      <w:pPr>
        <w:adjustRightInd w:val="0"/>
        <w:snapToGrid w:val="0"/>
        <w:spacing w:line="360" w:lineRule="auto"/>
        <w:ind w:firstLine="480"/>
        <w:rPr>
          <w:rFonts w:hint="eastAsia" w:ascii="宋体" w:hAnsi="宋体" w:cs="Arial"/>
          <w:sz w:val="24"/>
        </w:rPr>
      </w:pPr>
      <w:r>
        <w:rPr>
          <w:rFonts w:hint="eastAsia" w:ascii="宋体" w:hAnsi="宋体" w:cs="Arial"/>
          <w:sz w:val="24"/>
        </w:rPr>
        <w:t>（二）指令的内容</w:t>
      </w:r>
    </w:p>
    <w:p>
      <w:pPr>
        <w:adjustRightInd w:val="0"/>
        <w:snapToGrid w:val="0"/>
        <w:spacing w:line="360" w:lineRule="auto"/>
        <w:ind w:firstLine="480"/>
        <w:rPr>
          <w:rFonts w:hint="eastAsia" w:ascii="宋体" w:hAnsi="宋体" w:cs="Arial"/>
          <w:sz w:val="24"/>
        </w:rPr>
      </w:pPr>
      <w:r>
        <w:rPr>
          <w:rFonts w:hint="eastAsia" w:ascii="宋体" w:hAnsi="宋体" w:cs="Arial"/>
          <w:sz w:val="24"/>
        </w:rPr>
        <w:t>1.指令包括付款指令以及其他资金划拨指令等。</w:t>
      </w:r>
    </w:p>
    <w:p>
      <w:pPr>
        <w:adjustRightInd w:val="0"/>
        <w:snapToGrid w:val="0"/>
        <w:spacing w:line="360" w:lineRule="auto"/>
        <w:ind w:firstLine="480"/>
        <w:rPr>
          <w:rFonts w:hint="eastAsia" w:ascii="宋体" w:hAnsi="宋体" w:cs="Arial"/>
          <w:sz w:val="24"/>
        </w:rPr>
      </w:pPr>
      <w:r>
        <w:rPr>
          <w:rFonts w:hint="eastAsia" w:ascii="宋体" w:hAnsi="宋体" w:cs="Arial"/>
          <w:sz w:val="24"/>
        </w:rPr>
        <w:t>2.基金管理人发给基金托管人的指令应写明款项事由、支付时间、到账时间、金额、收付款账户等，加盖预留印鉴并由被授权人签字。</w:t>
      </w:r>
    </w:p>
    <w:p>
      <w:pPr>
        <w:adjustRightInd w:val="0"/>
        <w:snapToGrid w:val="0"/>
        <w:spacing w:line="360" w:lineRule="auto"/>
        <w:ind w:firstLine="480"/>
        <w:rPr>
          <w:rFonts w:hint="eastAsia" w:ascii="宋体" w:hAnsi="宋体" w:cs="Arial"/>
          <w:sz w:val="24"/>
        </w:rPr>
      </w:pPr>
      <w:r>
        <w:rPr>
          <w:rFonts w:hint="eastAsia" w:ascii="宋体" w:hAnsi="宋体" w:cs="Arial"/>
          <w:sz w:val="24"/>
        </w:rPr>
        <w:t>（三）指令的发送、确认及执行的时间和程序</w:t>
      </w:r>
    </w:p>
    <w:p>
      <w:pPr>
        <w:adjustRightInd w:val="0"/>
        <w:snapToGrid w:val="0"/>
        <w:spacing w:line="360" w:lineRule="auto"/>
        <w:ind w:firstLine="480"/>
        <w:rPr>
          <w:rFonts w:hint="eastAsia" w:ascii="宋体" w:hAnsi="宋体" w:cs="Arial"/>
          <w:sz w:val="24"/>
        </w:rPr>
      </w:pPr>
      <w:r>
        <w:rPr>
          <w:rFonts w:hint="eastAsia" w:ascii="宋体" w:hAnsi="宋体" w:cs="Arial"/>
          <w:sz w:val="24"/>
        </w:rPr>
        <w:t>1.指令的发送</w:t>
      </w:r>
    </w:p>
    <w:p>
      <w:pPr>
        <w:adjustRightInd w:val="0"/>
        <w:snapToGrid w:val="0"/>
        <w:spacing w:line="360" w:lineRule="auto"/>
        <w:ind w:firstLine="480"/>
        <w:rPr>
          <w:rFonts w:hint="eastAsia" w:ascii="宋体" w:hAnsi="宋体" w:cs="Arial"/>
          <w:sz w:val="24"/>
        </w:rPr>
      </w:pPr>
      <w:r>
        <w:rPr>
          <w:rFonts w:hint="eastAsia" w:ascii="宋体" w:hAnsi="宋体" w:cs="Arial"/>
          <w:sz w:val="24"/>
        </w:rPr>
        <w:t>基金管理人发送指令应采用传真方式或双方协商一致的其他方式。</w:t>
      </w:r>
    </w:p>
    <w:p>
      <w:pPr>
        <w:adjustRightInd w:val="0"/>
        <w:snapToGrid w:val="0"/>
        <w:spacing w:line="360" w:lineRule="auto"/>
        <w:ind w:firstLine="480"/>
        <w:rPr>
          <w:rFonts w:hint="eastAsia" w:ascii="宋体" w:hAnsi="宋体" w:cs="Arial"/>
          <w:sz w:val="24"/>
        </w:rPr>
      </w:pPr>
      <w:r>
        <w:rPr>
          <w:rFonts w:hint="eastAsia" w:ascii="宋体" w:hAnsi="宋体" w:cs="Arial"/>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pPr>
        <w:adjustRightInd w:val="0"/>
        <w:snapToGrid w:val="0"/>
        <w:spacing w:line="360" w:lineRule="auto"/>
        <w:ind w:firstLine="480"/>
        <w:rPr>
          <w:rFonts w:hint="eastAsia" w:ascii="宋体" w:hAnsi="宋体" w:cs="Arial"/>
          <w:sz w:val="24"/>
        </w:rPr>
      </w:pPr>
      <w:r>
        <w:rPr>
          <w:rFonts w:hint="eastAsia" w:ascii="宋体" w:hAnsi="宋体" w:cs="Arial"/>
          <w:sz w:val="24"/>
        </w:rPr>
        <w:t>指令发出后，基金管理人应及时以电话方式向基金托管人确认。</w:t>
      </w:r>
    </w:p>
    <w:p>
      <w:pPr>
        <w:adjustRightInd w:val="0"/>
        <w:snapToGrid w:val="0"/>
        <w:spacing w:line="360" w:lineRule="auto"/>
        <w:ind w:firstLine="480"/>
        <w:rPr>
          <w:rFonts w:hint="eastAsia" w:ascii="宋体" w:hAnsi="宋体" w:cs="Arial"/>
          <w:sz w:val="24"/>
        </w:rPr>
      </w:pPr>
      <w:r>
        <w:rPr>
          <w:rFonts w:hint="eastAsia" w:ascii="宋体" w:hAnsi="宋体"/>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pPr>
        <w:adjustRightInd w:val="0"/>
        <w:snapToGrid w:val="0"/>
        <w:spacing w:line="360" w:lineRule="auto"/>
        <w:ind w:firstLine="480"/>
        <w:rPr>
          <w:rFonts w:hint="eastAsia" w:ascii="宋体" w:hAnsi="宋体" w:cs="Arial"/>
          <w:sz w:val="24"/>
        </w:rPr>
      </w:pPr>
      <w:r>
        <w:rPr>
          <w:rFonts w:hint="eastAsia" w:ascii="宋体" w:hAnsi="宋体" w:cs="Arial"/>
          <w:sz w:val="24"/>
        </w:rPr>
        <w:t>2.指令的确认</w:t>
      </w:r>
    </w:p>
    <w:p>
      <w:pPr>
        <w:adjustRightInd w:val="0"/>
        <w:snapToGrid w:val="0"/>
        <w:spacing w:line="360" w:lineRule="auto"/>
        <w:ind w:firstLine="480"/>
        <w:rPr>
          <w:rFonts w:hint="eastAsia" w:ascii="宋体" w:hAnsi="宋体" w:cs="Arial"/>
          <w:sz w:val="24"/>
        </w:rPr>
      </w:pPr>
      <w:r>
        <w:rPr>
          <w:rFonts w:hint="eastAsia" w:ascii="宋体" w:hAnsi="宋体" w:cs="Arial"/>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pPr>
        <w:adjustRightInd w:val="0"/>
        <w:snapToGrid w:val="0"/>
        <w:spacing w:line="360" w:lineRule="auto"/>
        <w:ind w:firstLine="480"/>
        <w:rPr>
          <w:rFonts w:hint="eastAsia" w:ascii="宋体" w:hAnsi="宋体" w:cs="Arial"/>
          <w:sz w:val="24"/>
        </w:rPr>
      </w:pPr>
      <w:r>
        <w:rPr>
          <w:rFonts w:hint="eastAsia" w:ascii="宋体" w:hAnsi="宋体" w:cs="Arial"/>
          <w:sz w:val="24"/>
        </w:rPr>
        <w:t>3.指令的时间和执行</w:t>
      </w:r>
    </w:p>
    <w:p>
      <w:pPr>
        <w:pStyle w:val="8"/>
        <w:spacing w:line="360" w:lineRule="auto"/>
        <w:ind w:firstLineChars="0"/>
        <w:rPr>
          <w:rFonts w:hint="eastAsia" w:ascii="宋体" w:hAnsi="宋体"/>
          <w:shd w:val="pct10" w:color="auto" w:fill="FFFFFF"/>
        </w:rPr>
      </w:pPr>
      <w:r>
        <w:rPr>
          <w:rFonts w:hint="eastAsia" w:ascii="宋体" w:hAnsi="宋体" w:eastAsia="宋体" w:cs="Arial"/>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Pr>
          <w:rFonts w:hint="eastAsia" w:ascii="宋体" w:hAnsi="宋体" w:eastAsia="宋体" w:cs="Arial"/>
          <w:szCs w:val="24"/>
        </w:rPr>
        <w:t>基金管理人应确保基金托管人在执行指令时，基金托管资金账户有足够的资金余额，</w:t>
      </w:r>
      <w:r>
        <w:rPr>
          <w:rFonts w:hint="eastAsia" w:ascii="宋体" w:hAnsi="宋体" w:eastAsia="宋体" w:cs="Arial"/>
        </w:rPr>
        <w:t>在基金资金头寸充足的情况下，基金托管人对基金管理人符合法律法规、《基金合同》、本协议的指令不得拖延或拒绝执行。</w:t>
      </w:r>
    </w:p>
    <w:p>
      <w:pPr>
        <w:pStyle w:val="8"/>
        <w:spacing w:line="360" w:lineRule="auto"/>
        <w:ind w:firstLineChars="0"/>
        <w:rPr>
          <w:rFonts w:hint="eastAsia" w:ascii="宋体" w:hAnsi="宋体" w:eastAsia="宋体" w:cs="Arial"/>
        </w:rPr>
      </w:pPr>
      <w:r>
        <w:rPr>
          <w:rFonts w:hint="eastAsia" w:ascii="宋体" w:hAnsi="宋体" w:eastAsia="宋体" w:cs="Arial"/>
        </w:rPr>
        <w:t>（四）基金管理人发送错误指令的情形和处理程序</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基金管理人发送错误指令的情形包括指令违反法律法规、监管规定、《基金合同》或本协议的约定，或指令发送人员无权或超越权限发送指令。</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基金托管人发现基金管理人的指令错误时，有权视情况暂缓或拒绝执行，并及时通知基金管理人改正。如需托管人撤销尚未执行的指令，基金管理人应出具作废指令或作废说明，并电话通知托管人。</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（五）基金托管人未按照基金管理人指令执行的处理方法</w:t>
      </w:r>
    </w:p>
    <w:p>
      <w:pPr>
        <w:adjustRightInd w:val="0"/>
        <w:snapToGrid w:val="0"/>
        <w:spacing w:line="360" w:lineRule="auto"/>
        <w:ind w:firstLine="480"/>
        <w:rPr>
          <w:rFonts w:hint="eastAsia" w:ascii="宋体" w:hAnsi="宋体" w:cs="Arial"/>
          <w:sz w:val="24"/>
        </w:rPr>
      </w:pPr>
      <w:r>
        <w:rPr>
          <w:rFonts w:hint="eastAsia" w:ascii="宋体" w:hAnsi="宋体" w:cs="Arial"/>
          <w:sz w:val="24"/>
        </w:rPr>
        <w:t>基金托管人由于自身过错，未按照基金管理人发送的符合法律法规、监管规定、《基金合同》和本协议约定的指令执行并对基金财产、投资人造成的直接损失，由基金托管人赔偿由此造成的直接损失。</w:t>
      </w:r>
    </w:p>
    <w:p>
      <w:pPr>
        <w:adjustRightInd w:val="0"/>
        <w:snapToGrid w:val="0"/>
        <w:spacing w:line="360" w:lineRule="auto"/>
        <w:ind w:firstLine="480"/>
        <w:rPr>
          <w:rFonts w:hint="eastAsia" w:ascii="宋体" w:hAnsi="宋体" w:cs="Arial"/>
          <w:sz w:val="24"/>
        </w:rPr>
      </w:pPr>
      <w:r>
        <w:rPr>
          <w:rFonts w:hint="eastAsia" w:ascii="宋体" w:hAnsi="宋体" w:cs="Arial"/>
          <w:sz w:val="24"/>
        </w:rPr>
        <w:t>（六）更换被授权人的程序</w:t>
      </w:r>
    </w:p>
    <w:p>
      <w:pPr>
        <w:adjustRightInd w:val="0"/>
        <w:snapToGrid w:val="0"/>
        <w:spacing w:line="360" w:lineRule="auto"/>
        <w:ind w:firstLine="480"/>
        <w:rPr>
          <w:rFonts w:hint="eastAsia" w:ascii="宋体" w:hAnsi="宋体" w:cs="Arial"/>
          <w:sz w:val="24"/>
        </w:rPr>
      </w:pPr>
      <w:r>
        <w:rPr>
          <w:rFonts w:hint="eastAsia" w:ascii="宋体" w:hAnsi="宋体" w:cs="Arial"/>
          <w:sz w:val="24"/>
        </w:rPr>
        <w:t>基金管理人更换被授权人、更改或终止对被授权人的授权，应立即将加盖公章的新的授权文件以邮件发送扫描件的方式通知基金托管人，并经电话确认后生效，原授权文件同时废止。新的授权文件在邮件发出后七个工作日内送达基金托管人文件正本。新的授权文件生效之后，正本送达之前，基金托管人按照新的授权文件扫描件内容执行有关业务，如果新的授权文件正本与扫描件内容不同，由此产生的责任由基金管理人承担</w:t>
      </w:r>
      <w:r>
        <w:rPr>
          <w:rFonts w:hint="eastAsia" w:ascii="宋体" w:hAnsi="宋体"/>
          <w:sz w:val="24"/>
        </w:rPr>
        <w:t>。</w:t>
      </w:r>
      <w:r>
        <w:rPr>
          <w:rFonts w:hint="eastAsia" w:ascii="宋体" w:hAnsi="宋体" w:cs="Arial"/>
          <w:sz w:val="24"/>
        </w:rPr>
        <w:t>基金托管人更换接收基金管理人指令的传真号或邮箱地址，应提前通知基金管理人。</w:t>
      </w:r>
    </w:p>
    <w:p>
      <w:pPr>
        <w:adjustRightInd w:val="0"/>
        <w:snapToGrid w:val="0"/>
        <w:spacing w:line="360" w:lineRule="auto"/>
        <w:ind w:firstLine="480"/>
        <w:rPr>
          <w:rFonts w:hint="eastAsia" w:ascii="宋体" w:hAnsi="宋体" w:cs="Arial"/>
          <w:sz w:val="24"/>
        </w:rPr>
      </w:pPr>
      <w:r>
        <w:rPr>
          <w:rFonts w:hint="eastAsia" w:ascii="宋体" w:hAnsi="宋体" w:cs="Arial"/>
          <w:sz w:val="24"/>
        </w:rPr>
        <w:t>（七）其他事项</w:t>
      </w:r>
    </w:p>
    <w:p>
      <w:pPr>
        <w:adjustRightInd w:val="0"/>
        <w:snapToGrid w:val="0"/>
        <w:spacing w:line="360" w:lineRule="auto"/>
        <w:ind w:firstLine="480"/>
        <w:rPr>
          <w:rFonts w:hint="eastAsia" w:ascii="宋体" w:hAnsi="宋体" w:cs="Arial"/>
          <w:sz w:val="24"/>
        </w:rPr>
      </w:pPr>
      <w:r>
        <w:rPr>
          <w:rFonts w:hint="eastAsia" w:ascii="宋体" w:hAnsi="宋体" w:cs="Arial"/>
          <w:sz w:val="24"/>
        </w:rPr>
        <w:t>基金托管人在接收指令时，应对指令的要素是否齐全、印鉴与被授权人是否与预留的授权文件内容表面相符进行检查，如发现问题，应及时报告基金管理人，基金托管人对正确执行基金管理人的有效指令对基金财产造成的损失不承担赔偿责任。</w:t>
      </w:r>
    </w:p>
    <w:p>
      <w:pPr>
        <w:adjustRightInd w:val="0"/>
        <w:snapToGrid w:val="0"/>
        <w:spacing w:line="360" w:lineRule="auto"/>
        <w:ind w:firstLine="480"/>
        <w:rPr>
          <w:rFonts w:hint="eastAsia" w:ascii="宋体" w:hAnsi="宋体" w:cs="Arial"/>
          <w:sz w:val="24"/>
        </w:rPr>
      </w:pPr>
      <w:r>
        <w:rPr>
          <w:rFonts w:hint="eastAsia" w:ascii="宋体" w:hAnsi="宋体" w:cs="Arial"/>
          <w:sz w:val="24"/>
        </w:rPr>
        <w:t>基金参与认购未上市债券时，基金管理人应代表本基金与对手方签署相关合同或协议，明确约定债券过户具体事宜。否则，基金管理人需对所认购债券的过户事宜承担相应责任。</w:t>
      </w:r>
    </w:p>
    <w:p>
      <w:pPr>
        <w:adjustRightInd w:val="0"/>
        <w:snapToGrid w:val="0"/>
        <w:spacing w:line="360" w:lineRule="auto"/>
        <w:rPr>
          <w:rFonts w:hint="eastAsia" w:ascii="宋体" w:hAnsi="宋体" w:cs="Arial"/>
          <w:sz w:val="24"/>
        </w:rPr>
        <w:sectPr>
          <w:footerReference r:id="rId12" w:type="default"/>
          <w:pgSz w:w="11906" w:h="16838"/>
          <w:pgMar w:top="1418" w:right="1701" w:bottom="1418" w:left="1701" w:header="851" w:footer="992" w:gutter="0"/>
          <w:pgNumType w:start="1"/>
          <w:cols w:space="425" w:num="1"/>
          <w:docGrid w:type="lines" w:linePitch="312" w:charSpace="0"/>
        </w:sectPr>
      </w:pPr>
    </w:p>
    <w:p>
      <w:pPr>
        <w:pStyle w:val="3"/>
        <w:spacing w:line="360" w:lineRule="auto"/>
        <w:jc w:val="center"/>
        <w:rPr>
          <w:rFonts w:hint="eastAsia" w:ascii="宋体" w:hAnsi="宋体" w:eastAsia="宋体"/>
          <w:sz w:val="30"/>
        </w:rPr>
      </w:pPr>
      <w:bookmarkStart w:id="64" w:name="_Toc120435786"/>
      <w:bookmarkStart w:id="65" w:name="_Toc110765663"/>
      <w:bookmarkStart w:id="66" w:name="_Toc118774806"/>
      <w:bookmarkStart w:id="67" w:name="_Toc89163371"/>
      <w:bookmarkStart w:id="68" w:name="_Toc84133788"/>
      <w:bookmarkStart w:id="69" w:name="_Toc86726442"/>
      <w:bookmarkStart w:id="70" w:name="_Toc86727358"/>
      <w:bookmarkStart w:id="71" w:name="_Toc110761799"/>
      <w:bookmarkStart w:id="72" w:name="_Toc118212953"/>
      <w:bookmarkStart w:id="73" w:name="_Toc84234437"/>
      <w:bookmarkStart w:id="74" w:name="_Toc84234390"/>
      <w:bookmarkStart w:id="75" w:name="_Toc110830495"/>
      <w:bookmarkStart w:id="76" w:name="_Toc118972651"/>
      <w:bookmarkStart w:id="77" w:name="_Toc86649725"/>
      <w:bookmarkStart w:id="78" w:name="_Toc86737932"/>
      <w:bookmarkStart w:id="79" w:name="_Toc86204791"/>
      <w:bookmarkStart w:id="80" w:name="_Toc86225294"/>
      <w:bookmarkStart w:id="81" w:name="_Toc108512361"/>
      <w:bookmarkStart w:id="82" w:name="_Toc119402713"/>
      <w:bookmarkStart w:id="83" w:name="_Toc124325891"/>
      <w:bookmarkStart w:id="84" w:name="_Toc86223245"/>
      <w:r>
        <w:rPr>
          <w:rFonts w:hint="eastAsia" w:ascii="宋体" w:hAnsi="宋体" w:eastAsia="宋体"/>
          <w:sz w:val="30"/>
        </w:rPr>
        <w:t>七、交易及清算交收安排</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本产品参与交易所场内证券投资，采取托管人结算模式，基金管理人与基金托管人应根据有关法律法规及相关业务规则，签订《托管银行证券资金结算协议》用以具体明确基金管理人与基金托管人在证券交易资金结算（含港股通）业务中的程序与责任。协议签署前，基金管理人应按基金托管人要求配合提供相应准入材料。</w:t>
      </w:r>
    </w:p>
    <w:p>
      <w:pPr>
        <w:adjustRightInd w:val="0"/>
        <w:snapToGrid w:val="0"/>
        <w:spacing w:line="360" w:lineRule="auto"/>
        <w:ind w:firstLine="480"/>
        <w:rPr>
          <w:rFonts w:hint="eastAsia" w:ascii="宋体" w:hAnsi="宋体" w:cs="Arial"/>
          <w:sz w:val="24"/>
        </w:rPr>
      </w:pPr>
      <w:r>
        <w:rPr>
          <w:rFonts w:hint="eastAsia" w:ascii="宋体" w:hAnsi="宋体" w:cs="Arial"/>
          <w:sz w:val="24"/>
        </w:rPr>
        <w:t>（一）选择证券、期货买卖的证券、期货经营机构</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基金管理人应设计选择证券、期货买卖的证券、期货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中期报告和年度报告中将所选证券经营机构的有关情况及交易信息予以披露，并将该等情况及基金交易单元号、佣金费率等基本信息以及变更情况及时以书面形式通知基金托管人。</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基金管理人负责选择代理本基金期货交易的期货经营机构，并与其签订期货经营合同，其他事宜根据法律法规、《基金合同》的相关规定执行，若无明确规定的，可参照有关证券买卖、证券经营机构选择的规则执行。</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 xml:space="preserve">本基金在开始进行期货投资之前，应与基金托管人、期货公司三方一同就期货开户、清算、估值、交收等事宜另行签署《期货投资托管操作三方备忘录》。 </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本基金如需参加期权交易，应当按照现有证券账户开立方式向中国证券登记结算有限责任公司申请新开立一个普通证券账户，基金管理人负责将该证券账户指定交易在证券公司或期货公司，由相应证券公司（或期货公司）为本产品开立衍生品合约账户后，再通过该证券公司（或期货公司）参与期权交易。</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（二）基金投资证券后的清算交收安排</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1. 结算备付金与保证金</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中国证券登记结算有限责任公司分别于每月前6个交易日及每月前3个交易日内，对结算参与人最低备付金限额与结算保证金限额进行重新核算、调整。基金托管人应分别于每月前3个交易日内及结算保证金调整当日通过《资金账户报告》通知基金管理人本基金最低备付金调整金额以及调整后的结算保证金金额。基金管理人应预留最低备付金和结算保证金，并根据中国证券登记结算有限责任公司确定的实际最低备付金、结算保证金数据为依据安排资金运作，调整所需的现金头寸。如因调整最低备付金、结算保证金后造成透支，基金管理人应视基金托管人最低结算备付金比例计收方式分别于下列时点补足透支金额：</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（1）固定备付金比例计收方式下，基金管理人应在调整最低备付金、结算保证金当日上午11：00之前补足金额。</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（2）差异化备付金比例计收方式下，基金管理人应最晚于资金交收日上午8：30前补足金额。</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2、清算交收</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基金托管人负责基金买卖证券的清算交收。场内资金结算由基金托管人根据中国证券登记结算有限责任公司结算数据办理；场外资金汇划由基金托管人根据基金管理人的交易划款指令具体办理。</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如果因为基金托管人自身过错在清算上造成基金财产的直接损失，应由基金托管人负责赔偿，但因中国人民银行、中国结算和银行间市场登记结算机构资金结算系统以及其他机构的结算系统发生故障等非基金托管人可以控制的因素造成清算资金无法按时到账的情形，基金托管人不承担任何责任；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在预清算结束后应通知基金管理人预透支和预欠库事项，基金管理人应保持联系方式畅通，后续补缴等事宜由基金管理人负责处理，由此给基金托管人、本基金及基金托管人托管的其他资产造成的直接损失由基金管理人承担。</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基金管理人应采取合理、必要措施，确保T日日终有足够的资金头寸完成T+1日中国证券登记结算有限责任公司的资金交收；如因基金管理人原因导致资金头寸不足，基金管理人应视基金托管人最低结算备付金比例计收方式分别于下列时点补足透支金额：</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（1）固定备付金比例计收方式下，基金管理人应最晚于资金交收日上午11：00前补足金额。</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2）差异化备付金比例计收方式下，基金管理人应最晚于资金交收日上午8：30前补足金额。如果基金管理人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对于中国证券登记结算有限责任公司实行T+0非担保交收的业务，基金管理人应在交易日14:00前将划款指令发送至基金托管人。因基金管理人指令传输不及时，致使资金未能及时划入中国结算指定交收账户所造成的损失由基金管理人承担。包括但不限于赔偿在该市场引起其他托管客户交易失败、赔偿因占用结算参与人最低备付金带来的利息损失。</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3.交易记录、资金和证券/期货账目核对的时间和方式</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（1）交易记录的核对</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基金管理人按日进行交易记录的核对。对外披露基金净值之前，必须保证当天所有实际交易记录与基金会计账簿上的交易记录完全一致。如果因基金管理人原因导致的实际交易记录与会计账簿记录不一致，造成基金会计核算不完整或不真实，由此导致的损失由基金管理人承担。</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（2）资金账目的核对</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资金账目按日核实。</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（3）证券/期货账目的核对</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基金管理人和基金托管人每交易日结束后核对基金证券/期货账目，确保双方账目相符。</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（三）基金申购和赎回业务处理的基本规定</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1.基金份额申购、赎回的确认、清算由基金管理人或其委托的登记机构负责。</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3.基金管理人应保证本基金（或本基金管理人委托）的登记机构每个工作日15:00前向基金托管人发送前一开放日上述有关数据，并保证相关数据的准确、完整。</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4.登记机构应通过与基金托管人建立的加密系统发送有关数据，如因各种原因，该系统无法正常发送，双方可协商解决处理方式。基金管理人向基金托管人发送的数据，双方各自按有关规定保存。</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5.如基金管理人委托其他机构办理本基金的注册登记业务，应保证上述相关事宜按时进行。否则，由基金管理人承担相应的责任。</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6.关于清算专用账户的设立和管理</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为满足申购、赎回及分红资金汇划的需要，由基金管理人开立资金清算的专用账户，该账户由登记机构管理。</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7.对于基金申购过程中产生的应收款，应由基金管理人负责与有关当事人确定到账日期并通知基金托管人，到账日应收款没有到达基金托管资金账户的，基金托管人应及时通知基金管理人采取措施进行催收，由此造成基金损失的，基金管理人应负责向有关当事人追偿基金的损失，基金托管人应予以必要的协助和配合。</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8.赎回和分红资金划拨规定</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拨付赎回款或进行基金分红时，如基金托管资金账户有足够的资金，基金托管人应按时拨付；因基金托管资金账户没有足够的资金，导致基金托管人不能按时拨付，基金托管人应及时通知基金管理人，如系基金管理人的原因造成，责任由基金管理人承担，基金托管人不承担垫款义务。</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9.资金指令</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除申购款项到达基金托管资金账户需双方按约定方式对账外，回购到期付款和与投资有关的付款、赎回和分红资金划拨时，基金管理人需向基金托管人下达指令。</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资金指令的格式、内容、发送、接收和确认方式等与投资指令相同。</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（四）申赎净额结算</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基金托管资金账户与“基金清算账户”间的资金结算遵循“全额清算、净额交收”的原则，每日按照托管资金账户应收资金(申购申请对应申购金额与基金转换转入申请对应金额之和)与应付资金(赎回申请对应赎回金额扣除归基金资产的费用与基金转换转出申请对应金额扣除归基金资产的费用之和)的差额来确定托管资金账户净应收额或净应付额，以此确定资金交收额。当存在托管资金账户净应收额时，基金管理人应在交收日15:00之前从基金清算账户划到基金托管资金账户；当存在托管资金账户净应付额时，基金管理人应在交收日的前一工作日将划款指令发送给基金托管人，基金托管人按基金管理人的划款指令将托管资金账户净应付额在交收日12:00之前划往基金清算账户。</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（五）基金转换</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1.在基金开展转换业务之前，基金管理人应函告基金托管人并就相关事宜进行协商。</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2.基金托管人将根据基金管理人传送的基金转换数据进行账务处理，具体资金清算和数据传递的时间、程序及托管协议当事人承担的权责按基金管理人届时的公告执行。</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3.本基金开展基金转换业务应按相关法律法规规定及《基金合同》的约定进行公告。</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（六）基金现金分红</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1.基金管理人确定分红方案通知基金托管人，双方核定后依照《公开募集证券投资基金信息披露管理办法》的有关规定在中国证监会规定媒介上公告。</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2.基金托管人和基金管理人对基金分红进行账务处理并核对后，基金管理人向基金托管人发送现金红利的划款指令，基金托管人应及时将资金划入专用账户。</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3.基金管理人在下达指令时，应给基金托管人留出必需的划款时间。</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（七）投资银行存款的特别约定</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1.本基金投资银行存款前，基金管理人应与存款银行签订具体存款协议，包括但不限于以下内容：</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（1）存款账户必须以本基金名义开立，并将基金托管人为本基金开立的基金托管资金账户指定为唯一回款账户，任何情况下，存款银行都不得将存款投资本息划往任何其他账户。</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（2）存款银行不得接受基金管理人或基金托管人任何一方单方面提出的对存款进行更名、转让、挂失、质押、担保、撤销、变更印鉴及回款账户信息等可能导致财产转移的操作申请。</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（3）约定存款证实书的具体传递交接方式及交接期限。</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（4）资金划转过程中需要使用存款银行过渡账户的，存款银行须保证资金在过渡账户中不出现滞留，不被挪用。</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2.本基金投资银行存款，必须采用双方认可的方式办理。基金托管人负责依据基金管理人提供的银行存款投资合同/协议、投资指令、支取通知等有关文件办理资金的支付以及存款证实书的接收、保管与交付，切实履行托管职责。基金托管人负责对存款开户证实书进行保管，不负责对存款开户证实书真伪的辨别，不承担存款开户证实书对应存款的本金及收益的安全。</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3.基金管理人投资银行存款或办理存款支取时，应提前书面通知基金托管人，以便基金托管人有足够的时间履行相应的业务操作程序。因发生逾期支取、提前支取或部分提前支取，基金托管人不承担相应利息损失及逾期支取手续费。</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4.对于已移交基金托管人保管的存款开户证实书等实物凭证，基金托管人应确保安全保管；对未按约定将存款开户证实书等实物凭证移交基金托管人保管的，基金托管人应向基金管理人进行必要的催缴和风险提示；提示后仍不将相关实物凭证送达基金托管人保管的，出于托管履职和尽责，基金托管人可视情况采取必要的风险控制措施：（1）建立风险预警机制，对于实物凭证未送达集中度较高的存款银行，主动发函基金管理人尽量避免在此类银行进行存款投资；（2）在定期报告中，对未按约定送达基金托管人保管的实物凭证信息进行规定范围信息披露；（3）未送达实物凭证超过送单截止日后30个工作日，且累计超过3笔（含）以上的，部分或全部暂停配合基金管理人办理后续新增存款投资业务，直至实物凭证送达基金托管人保管后解除。实物凭证未送达但存款本息已安全划回托管账户的，以及因发生特殊情况由基金管理人提供相关书面说明并重新承诺送单截止时间的，可剔除不计。</w:t>
      </w:r>
    </w:p>
    <w:p>
      <w:pPr>
        <w:adjustRightInd w:val="0"/>
        <w:snapToGrid w:val="0"/>
        <w:spacing w:line="360" w:lineRule="auto"/>
        <w:ind w:firstLine="480" w:firstLineChars="200"/>
        <w:rPr>
          <w:rFonts w:hint="eastAsia" w:ascii="宋体" w:hAnsi="宋体" w:cs="Arial"/>
          <w:sz w:val="24"/>
        </w:rPr>
        <w:sectPr>
          <w:footerReference r:id="rId13" w:type="default"/>
          <w:pgSz w:w="11906" w:h="16838"/>
          <w:pgMar w:top="1418" w:right="1701" w:bottom="1418" w:left="1701" w:header="851" w:footer="992" w:gutter="0"/>
          <w:pgNumType w:start="1"/>
          <w:cols w:space="425" w:num="1"/>
          <w:docGrid w:type="lines" w:linePitch="312" w:charSpace="0"/>
        </w:sectPr>
      </w:pPr>
    </w:p>
    <w:p>
      <w:pPr>
        <w:pStyle w:val="3"/>
        <w:spacing w:line="360" w:lineRule="auto"/>
        <w:jc w:val="center"/>
        <w:rPr>
          <w:rFonts w:hint="eastAsia" w:ascii="宋体" w:hAnsi="宋体" w:eastAsia="宋体"/>
          <w:sz w:val="30"/>
        </w:rPr>
      </w:pPr>
      <w:bookmarkStart w:id="85" w:name="_Toc124325892"/>
      <w:r>
        <w:rPr>
          <w:rFonts w:hint="eastAsia" w:ascii="宋体" w:hAnsi="宋体" w:eastAsia="宋体"/>
          <w:sz w:val="30"/>
        </w:rPr>
        <w:t>八、基金资产净值计算和会计核算</w:t>
      </w:r>
      <w:bookmarkEnd w:id="85"/>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（一）基金资产净值的计算、复核与完成的时间及程序</w:t>
      </w:r>
    </w:p>
    <w:p>
      <w:pPr>
        <w:pStyle w:val="23"/>
        <w:widowControl w:val="0"/>
        <w:spacing w:before="0" w:beforeAutospacing="0" w:after="0" w:afterAutospacing="0" w:line="360" w:lineRule="auto"/>
        <w:ind w:firstLine="420"/>
        <w:rPr>
          <w:rFonts w:hint="eastAsia" w:ascii="宋体" w:hAnsi="宋体" w:eastAsia="宋体" w:cs="宋体"/>
          <w:kern w:val="2"/>
        </w:rPr>
      </w:pPr>
      <w:r>
        <w:rPr>
          <w:rFonts w:hint="eastAsia" w:ascii="宋体" w:hAnsi="宋体" w:eastAsia="宋体" w:cs="宋体"/>
          <w:kern w:val="2"/>
        </w:rPr>
        <w:t xml:space="preserve">1.基金资产净值是指基金资产总值减去基金负债后的价值。各类基金份额净值是按照每个工作日闭市后，各类基金资产净值除以当日该类基金份额的余额数量计算，均精确到0.0001元，小数点后第5位四舍五入，由此产生的收益或损失由基金财产承担。基金管理人可以设立大额赎回情形下的净值精度应急调整机制。国家另有规定的，从其规定。 </w:t>
      </w:r>
    </w:p>
    <w:p>
      <w:pPr>
        <w:pStyle w:val="23"/>
        <w:widowControl w:val="0"/>
        <w:spacing w:before="0" w:beforeAutospacing="0" w:after="0" w:afterAutospacing="0" w:line="360" w:lineRule="auto"/>
        <w:ind w:firstLine="420"/>
        <w:rPr>
          <w:rFonts w:hint="eastAsia" w:ascii="宋体" w:hAnsi="宋体" w:eastAsia="宋体" w:cs="宋体"/>
          <w:kern w:val="2"/>
        </w:rPr>
      </w:pPr>
      <w:r>
        <w:rPr>
          <w:rFonts w:hint="eastAsia" w:ascii="宋体" w:hAnsi="宋体" w:eastAsia="宋体" w:cs="宋体"/>
          <w:kern w:val="2"/>
        </w:rPr>
        <w:t xml:space="preserve">基金管理人于每个工作日计算基金资产净值及各类基金份额净值，并按规定公告。 </w:t>
      </w:r>
    </w:p>
    <w:p>
      <w:pPr>
        <w:numPr>
          <w:ilvl w:val="0"/>
          <w:numId w:val="1"/>
        </w:numPr>
        <w:spacing w:line="360" w:lineRule="auto"/>
        <w:ind w:firstLine="480" w:firstLineChars="200"/>
        <w:rPr>
          <w:rFonts w:hint="eastAsia" w:ascii="宋体" w:hAnsi="宋体" w:cs="宋体"/>
          <w:sz w:val="24"/>
        </w:rPr>
      </w:pPr>
      <w:r>
        <w:rPr>
          <w:rFonts w:hint="eastAsia" w:ascii="宋体" w:hAnsi="宋体" w:cs="宋体"/>
          <w:sz w:val="24"/>
        </w:rPr>
        <w:t xml:space="preserve">基金管理人应每个工作日对基金资产估值。但基金管理人根据法律法规或基金合同的规定暂停估值时除外。基金管理人每个工作日对基金资产估值后，将各类基金份额净值结果发送基金托管人，经基金托管人复核无误后，由基金管理人按规定对外公布。  </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（二）基金资产估值方法和特殊情形的处理</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1.估值对象</w:t>
      </w:r>
    </w:p>
    <w:p>
      <w:pPr>
        <w:adjustRightInd w:val="0"/>
        <w:snapToGrid w:val="0"/>
        <w:spacing w:line="360" w:lineRule="auto"/>
        <w:ind w:firstLine="480" w:firstLineChars="200"/>
        <w:rPr>
          <w:rFonts w:hint="eastAsia" w:ascii="宋体" w:hAnsi="宋体" w:cs="宋体"/>
          <w:sz w:val="24"/>
        </w:rPr>
      </w:pPr>
      <w:bookmarkStart w:id="86" w:name="_Hlk186895957"/>
      <w:r>
        <w:rPr>
          <w:rFonts w:hint="eastAsia" w:ascii="宋体" w:hAnsi="宋体" w:cs="宋体"/>
          <w:sz w:val="24"/>
        </w:rPr>
        <w:t xml:space="preserve">基金所拥有的股票（含存托凭证）、国债期货合约、股指期货合约、股票期权合约、信用衍生品、债券和银行存款本息、应收款项、资产支持证券、其它投资等资产及负债。  </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2.估值方法</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本基金所持有的投资品种，按如下原则进行估值 ：</w:t>
      </w:r>
    </w:p>
    <w:p>
      <w:pPr>
        <w:adjustRightInd w:val="0"/>
        <w:snapToGrid w:val="0"/>
        <w:spacing w:line="360" w:lineRule="auto"/>
        <w:ind w:firstLine="480"/>
        <w:rPr>
          <w:rFonts w:hint="eastAsia" w:ascii="宋体" w:hAnsi="宋体" w:cs="宋体"/>
          <w:sz w:val="24"/>
        </w:rPr>
      </w:pPr>
      <w:r>
        <w:rPr>
          <w:rFonts w:hint="eastAsia" w:ascii="宋体" w:hAnsi="宋体" w:cs="宋体"/>
          <w:sz w:val="24"/>
        </w:rPr>
        <w:t>（1）交易所上市或挂牌转让的有价证券（包括股票等，基金合同另有约定的除外），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pPr>
        <w:adjustRightInd w:val="0"/>
        <w:snapToGrid w:val="0"/>
        <w:spacing w:line="360" w:lineRule="auto"/>
        <w:ind w:firstLine="480"/>
        <w:rPr>
          <w:rFonts w:hint="eastAsia" w:ascii="宋体" w:hAnsi="宋体" w:cs="宋体"/>
          <w:sz w:val="24"/>
        </w:rPr>
      </w:pPr>
      <w:r>
        <w:rPr>
          <w:rFonts w:hint="eastAsia" w:ascii="宋体" w:hAnsi="宋体" w:cs="宋体"/>
          <w:sz w:val="24"/>
        </w:rPr>
        <w:t>（2）对于已上市或已挂牌转让的不含权固定收益品种，选取估值日第三方估值基准服务机构提供的相应品种当日的估值全价进行估值。</w:t>
      </w:r>
    </w:p>
    <w:p>
      <w:pPr>
        <w:adjustRightInd w:val="0"/>
        <w:snapToGrid w:val="0"/>
        <w:spacing w:line="360" w:lineRule="auto"/>
        <w:ind w:firstLine="480"/>
        <w:rPr>
          <w:rFonts w:hint="eastAsia" w:ascii="宋体" w:hAnsi="宋体" w:cs="宋体"/>
          <w:sz w:val="24"/>
        </w:rPr>
      </w:pPr>
      <w:r>
        <w:rPr>
          <w:rFonts w:hint="eastAsia" w:ascii="宋体" w:hAnsi="宋体" w:cs="宋体"/>
          <w:sz w:val="24"/>
        </w:rPr>
        <w:t>（3）对于已上市或已挂牌转让的含权固定收益品种，选取估值日第三方估值基准服务机构提供的相应品种当日的唯一估值全价或推荐估值全价进行估值；</w:t>
      </w:r>
    </w:p>
    <w:p>
      <w:pPr>
        <w:adjustRightInd w:val="0"/>
        <w:snapToGrid w:val="0"/>
        <w:spacing w:line="360" w:lineRule="auto"/>
        <w:ind w:firstLine="480"/>
        <w:rPr>
          <w:rFonts w:hint="eastAsia" w:ascii="宋体" w:hAnsi="宋体" w:cs="宋体"/>
          <w:sz w:val="24"/>
        </w:rPr>
      </w:pPr>
      <w:r>
        <w:rPr>
          <w:rFonts w:hint="eastAsia" w:ascii="宋体" w:hAnsi="宋体" w:cs="宋体"/>
          <w:sz w:val="24"/>
        </w:rPr>
        <w:t>对于含投资者回售权的固定收益品种，行使回售权的，在回售登记日至实际收款日期间选取第三方估值基准服务机构提供的相应品种的唯一估值全价或推荐估值全价。回售登记期截止日（含当日）后未行使回售权的，按照长待偿期所对应的价格进行估值。</w:t>
      </w:r>
    </w:p>
    <w:p>
      <w:pPr>
        <w:adjustRightInd w:val="0"/>
        <w:snapToGrid w:val="0"/>
        <w:spacing w:line="360" w:lineRule="auto"/>
        <w:ind w:firstLine="480"/>
        <w:rPr>
          <w:rFonts w:hint="eastAsia" w:ascii="宋体" w:hAnsi="宋体" w:cs="宋体"/>
          <w:sz w:val="24"/>
        </w:rPr>
      </w:pPr>
      <w:r>
        <w:rPr>
          <w:rFonts w:hint="eastAsia" w:ascii="宋体" w:hAnsi="宋体" w:cs="宋体"/>
          <w:sz w:val="24"/>
        </w:rPr>
        <w:t>（4）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pPr>
        <w:adjustRightInd w:val="0"/>
        <w:snapToGrid w:val="0"/>
        <w:spacing w:line="360" w:lineRule="auto"/>
        <w:ind w:firstLine="480"/>
        <w:rPr>
          <w:rFonts w:hint="eastAsia" w:ascii="宋体" w:hAnsi="宋体" w:cs="宋体"/>
          <w:sz w:val="24"/>
        </w:rPr>
      </w:pPr>
      <w:r>
        <w:rPr>
          <w:rFonts w:hint="eastAsia" w:ascii="宋体" w:hAnsi="宋体" w:cs="宋体"/>
          <w:sz w:val="24"/>
        </w:rPr>
        <w:t>（5）对于未上市或未挂牌转让且不存在活跃市场的固定收益品种，应采用在当前情况下适用并且有足够可利用数据和其他信息支持的估值技术确定其公允价值。</w:t>
      </w:r>
    </w:p>
    <w:p>
      <w:pPr>
        <w:adjustRightInd w:val="0"/>
        <w:snapToGrid w:val="0"/>
        <w:spacing w:line="360" w:lineRule="auto"/>
        <w:ind w:firstLine="480"/>
        <w:rPr>
          <w:rFonts w:hint="eastAsia" w:ascii="宋体" w:hAnsi="宋体" w:cs="宋体"/>
          <w:sz w:val="24"/>
        </w:rPr>
      </w:pPr>
      <w:r>
        <w:rPr>
          <w:rFonts w:hint="eastAsia" w:ascii="宋体" w:hAnsi="宋体" w:cs="宋体"/>
          <w:sz w:val="24"/>
        </w:rPr>
        <w:t>（6）处于未上市期间的有价证券应区分如下情况处理：</w:t>
      </w:r>
    </w:p>
    <w:p>
      <w:pPr>
        <w:adjustRightInd w:val="0"/>
        <w:snapToGrid w:val="0"/>
        <w:spacing w:line="360" w:lineRule="auto"/>
        <w:ind w:firstLine="480"/>
        <w:rPr>
          <w:rFonts w:hint="eastAsia" w:ascii="宋体" w:hAnsi="宋体" w:cs="宋体"/>
          <w:sz w:val="24"/>
        </w:rPr>
      </w:pPr>
      <w:r>
        <w:rPr>
          <w:rFonts w:hint="eastAsia" w:ascii="宋体" w:hAnsi="宋体" w:cs="宋体"/>
          <w:sz w:val="24"/>
        </w:rPr>
        <w:t>1）送股、转增股、配股和公开增发的新股，按估值日在证券交易所挂牌的同一股票的估值方法估值；该日无交易的，以最近一日的市价（收盘价）估值；</w:t>
      </w:r>
    </w:p>
    <w:p>
      <w:pPr>
        <w:adjustRightInd w:val="0"/>
        <w:snapToGrid w:val="0"/>
        <w:spacing w:line="360" w:lineRule="auto"/>
        <w:ind w:firstLine="480"/>
        <w:rPr>
          <w:rFonts w:hint="eastAsia" w:ascii="宋体" w:hAnsi="宋体" w:cs="宋体"/>
          <w:sz w:val="24"/>
        </w:rPr>
      </w:pPr>
      <w:r>
        <w:rPr>
          <w:rFonts w:hint="eastAsia" w:ascii="宋体" w:hAnsi="宋体" w:cs="宋体"/>
          <w:sz w:val="24"/>
        </w:rPr>
        <w:t>2）首次公开发行未上市的股票，采用估值技术确定公允价值；</w:t>
      </w:r>
    </w:p>
    <w:p>
      <w:pPr>
        <w:adjustRightInd w:val="0"/>
        <w:snapToGrid w:val="0"/>
        <w:spacing w:line="360" w:lineRule="auto"/>
        <w:ind w:firstLine="480"/>
        <w:rPr>
          <w:rFonts w:hint="eastAsia" w:ascii="宋体" w:hAnsi="宋体" w:cs="宋体"/>
          <w:sz w:val="24"/>
        </w:rPr>
      </w:pPr>
      <w:r>
        <w:rPr>
          <w:rFonts w:hint="eastAsia" w:ascii="宋体" w:hAnsi="宋体" w:cs="宋体"/>
          <w:sz w:val="24"/>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pPr>
        <w:adjustRightInd w:val="0"/>
        <w:snapToGrid w:val="0"/>
        <w:spacing w:line="360" w:lineRule="auto"/>
        <w:ind w:firstLine="480"/>
        <w:rPr>
          <w:rFonts w:hint="eastAsia" w:ascii="宋体" w:hAnsi="宋体" w:cs="宋体"/>
          <w:sz w:val="24"/>
        </w:rPr>
      </w:pPr>
      <w:r>
        <w:rPr>
          <w:rFonts w:hint="eastAsia" w:ascii="宋体" w:hAnsi="宋体" w:cs="宋体"/>
          <w:sz w:val="24"/>
        </w:rPr>
        <w:t xml:space="preserve">（7）本基金投资存托凭证的估值核算，依照境内上市交易的股票执行。  </w:t>
      </w:r>
    </w:p>
    <w:p>
      <w:pPr>
        <w:adjustRightInd w:val="0"/>
        <w:snapToGrid w:val="0"/>
        <w:spacing w:line="360" w:lineRule="auto"/>
        <w:ind w:firstLine="480"/>
        <w:rPr>
          <w:rFonts w:hint="eastAsia" w:ascii="宋体" w:hAnsi="宋体" w:cs="宋体"/>
          <w:sz w:val="24"/>
        </w:rPr>
      </w:pPr>
      <w:r>
        <w:rPr>
          <w:rFonts w:hint="eastAsia" w:ascii="宋体" w:hAnsi="宋体" w:cs="宋体"/>
          <w:sz w:val="24"/>
        </w:rPr>
        <w:t xml:space="preserve">（8）同一证券同时在两个或两个以上市场交易的，按证券所处的市场分别估值。   </w:t>
      </w:r>
    </w:p>
    <w:p>
      <w:pPr>
        <w:adjustRightInd w:val="0"/>
        <w:snapToGrid w:val="0"/>
        <w:spacing w:line="360" w:lineRule="auto"/>
        <w:ind w:firstLine="480"/>
        <w:rPr>
          <w:rFonts w:hint="eastAsia" w:ascii="宋体" w:hAnsi="宋体" w:cs="宋体"/>
          <w:sz w:val="24"/>
        </w:rPr>
      </w:pPr>
      <w:r>
        <w:rPr>
          <w:rFonts w:hint="eastAsia" w:ascii="宋体" w:hAnsi="宋体" w:cs="宋体"/>
          <w:sz w:val="24"/>
        </w:rPr>
        <w:t xml:space="preserve">（9）本基金参与股指期货合约、国债期货合约交易，一般以估值当日结算价进行估值，估值当日无结算价的，且最近交易日后经济环境未发生重大变化的，采用最近交易日结算价估值。  </w:t>
      </w:r>
    </w:p>
    <w:p>
      <w:pPr>
        <w:adjustRightInd w:val="0"/>
        <w:snapToGrid w:val="0"/>
        <w:spacing w:line="360" w:lineRule="auto"/>
        <w:ind w:firstLine="480"/>
        <w:rPr>
          <w:rFonts w:hint="eastAsia" w:ascii="宋体" w:hAnsi="宋体" w:cs="宋体"/>
          <w:sz w:val="24"/>
        </w:rPr>
      </w:pPr>
      <w:r>
        <w:rPr>
          <w:rFonts w:hint="eastAsia" w:ascii="宋体" w:hAnsi="宋体" w:cs="宋体"/>
          <w:sz w:val="24"/>
        </w:rPr>
        <w:t xml:space="preserve">（10）本基金投资股票期权，根据相关法律法规以及监管部门的规定估值。  </w:t>
      </w:r>
    </w:p>
    <w:p>
      <w:pPr>
        <w:adjustRightInd w:val="0"/>
        <w:snapToGrid w:val="0"/>
        <w:spacing w:line="360" w:lineRule="auto"/>
        <w:ind w:firstLine="480"/>
        <w:rPr>
          <w:rFonts w:hint="eastAsia" w:ascii="宋体" w:hAnsi="宋体" w:cs="宋体"/>
          <w:sz w:val="24"/>
        </w:rPr>
      </w:pPr>
      <w:r>
        <w:rPr>
          <w:rFonts w:hint="eastAsia" w:ascii="宋体" w:hAnsi="宋体" w:cs="宋体"/>
          <w:sz w:val="24"/>
        </w:rPr>
        <w:t xml:space="preserve">（11）信用衍生品按第三方估值机构提供的当日估值价格进行估值，但基金管理人依法应当承担的估值责任不因委托而免除，选定的第三方估值机构未提供估值价格的，依照有关法律法规及企业会计准则要求采用合理估值技术，确定公允价值。  </w:t>
      </w:r>
    </w:p>
    <w:p>
      <w:pPr>
        <w:adjustRightInd w:val="0"/>
        <w:snapToGrid w:val="0"/>
        <w:spacing w:line="360" w:lineRule="auto"/>
        <w:ind w:firstLine="480"/>
        <w:rPr>
          <w:rFonts w:hint="eastAsia" w:ascii="宋体" w:hAnsi="宋体" w:cs="宋体"/>
          <w:sz w:val="24"/>
        </w:rPr>
      </w:pPr>
      <w:r>
        <w:rPr>
          <w:rFonts w:hint="eastAsia" w:ascii="宋体" w:hAnsi="宋体" w:cs="宋体"/>
          <w:sz w:val="24"/>
        </w:rPr>
        <w:t xml:space="preserve">（12）汇率 </w:t>
      </w:r>
    </w:p>
    <w:p>
      <w:pPr>
        <w:adjustRightInd w:val="0"/>
        <w:snapToGrid w:val="0"/>
        <w:spacing w:line="360" w:lineRule="auto"/>
        <w:ind w:firstLine="480"/>
        <w:rPr>
          <w:rFonts w:hint="eastAsia" w:ascii="宋体" w:hAnsi="宋体" w:cs="宋体"/>
          <w:sz w:val="24"/>
        </w:rPr>
      </w:pPr>
      <w:r>
        <w:rPr>
          <w:rFonts w:hint="eastAsia" w:ascii="宋体" w:hAnsi="宋体" w:cs="宋体"/>
          <w:sz w:val="24"/>
        </w:rPr>
        <w:t xml:space="preserve">本基金外币资产价值计算中，涉及主要货币对人民币汇率的，应当以基金估值日中国人民银行或其授权机构公布的人民币汇率中间价为准。  </w:t>
      </w:r>
    </w:p>
    <w:p>
      <w:pPr>
        <w:adjustRightInd w:val="0"/>
        <w:snapToGrid w:val="0"/>
        <w:spacing w:line="360" w:lineRule="auto"/>
        <w:ind w:firstLine="480"/>
        <w:rPr>
          <w:rFonts w:hint="eastAsia" w:ascii="宋体" w:hAnsi="宋体" w:cs="宋体"/>
          <w:sz w:val="24"/>
        </w:rPr>
      </w:pPr>
      <w:r>
        <w:rPr>
          <w:rFonts w:hint="eastAsia" w:ascii="宋体" w:hAnsi="宋体" w:cs="宋体"/>
          <w:sz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pPr>
        <w:adjustRightInd w:val="0"/>
        <w:snapToGrid w:val="0"/>
        <w:spacing w:line="360" w:lineRule="auto"/>
        <w:ind w:firstLine="480"/>
        <w:rPr>
          <w:rFonts w:hint="eastAsia" w:ascii="宋体" w:hAnsi="宋体" w:cs="宋体"/>
          <w:sz w:val="24"/>
        </w:rPr>
      </w:pPr>
      <w:r>
        <w:rPr>
          <w:rFonts w:hint="eastAsia" w:ascii="宋体" w:hAnsi="宋体" w:cs="宋体"/>
          <w:sz w:val="24"/>
        </w:rPr>
        <w:t xml:space="preserve">（13）本基金参与融资业务，按照相关法律法规和行业协会的相关规定进行估值。  </w:t>
      </w:r>
    </w:p>
    <w:p>
      <w:pPr>
        <w:adjustRightInd w:val="0"/>
        <w:snapToGrid w:val="0"/>
        <w:spacing w:line="360" w:lineRule="auto"/>
        <w:ind w:firstLine="480"/>
        <w:rPr>
          <w:rFonts w:hint="eastAsia" w:ascii="宋体" w:hAnsi="宋体" w:cs="宋体"/>
          <w:sz w:val="24"/>
        </w:rPr>
      </w:pPr>
      <w:r>
        <w:rPr>
          <w:rFonts w:hint="eastAsia" w:ascii="宋体" w:hAnsi="宋体" w:cs="宋体"/>
          <w:sz w:val="24"/>
        </w:rPr>
        <w:t xml:space="preserve">（14）如有确凿证据表明按上述方法进行估值不能客观反映其公允价值的，基金管理人可根据具体情况与基金托管人商定后，按最能反映公允价值的价格估值。  </w:t>
      </w:r>
    </w:p>
    <w:p>
      <w:pPr>
        <w:adjustRightInd w:val="0"/>
        <w:snapToGrid w:val="0"/>
        <w:spacing w:line="360" w:lineRule="auto"/>
        <w:ind w:firstLine="480"/>
        <w:rPr>
          <w:rFonts w:hint="eastAsia" w:ascii="宋体" w:hAnsi="宋体" w:cs="宋体"/>
          <w:sz w:val="24"/>
        </w:rPr>
      </w:pPr>
      <w:r>
        <w:rPr>
          <w:rFonts w:hint="eastAsia" w:ascii="宋体" w:hAnsi="宋体" w:cs="宋体"/>
          <w:sz w:val="24"/>
        </w:rPr>
        <w:t xml:space="preserve">（15）当发生大额申购或赎回情形时，基金管理人可以采用摆动定价机制，以确保基金估值的公平性。具体处理原则与操作规范遵循相关法律法规以及监管部门、自律规则的规定。  </w:t>
      </w:r>
    </w:p>
    <w:p>
      <w:pPr>
        <w:adjustRightInd w:val="0"/>
        <w:snapToGrid w:val="0"/>
        <w:spacing w:line="360" w:lineRule="auto"/>
        <w:ind w:firstLine="480"/>
        <w:rPr>
          <w:rFonts w:hint="eastAsia" w:ascii="宋体" w:hAnsi="宋体" w:cs="宋体"/>
          <w:sz w:val="24"/>
        </w:rPr>
      </w:pPr>
      <w:r>
        <w:rPr>
          <w:rFonts w:hint="eastAsia" w:ascii="宋体" w:hAnsi="宋体" w:cs="宋体"/>
          <w:sz w:val="24"/>
        </w:rPr>
        <w:t xml:space="preserve">（16）相关法律法规以及监管部门有强制规定的，从其规定。如有新增事项，按国家最新规定估值。 </w:t>
      </w:r>
    </w:p>
    <w:p>
      <w:pPr>
        <w:adjustRightInd w:val="0"/>
        <w:snapToGrid w:val="0"/>
        <w:spacing w:line="360" w:lineRule="auto"/>
        <w:ind w:firstLine="480"/>
        <w:rPr>
          <w:rFonts w:hint="eastAsia" w:ascii="宋体" w:hAnsi="宋体" w:cs="宋体"/>
          <w:sz w:val="24"/>
        </w:rPr>
      </w:pPr>
      <w:r>
        <w:rPr>
          <w:rFonts w:hint="eastAsia" w:ascii="宋体" w:hAnsi="宋体" w:cs="宋体"/>
          <w:sz w:val="24"/>
        </w:rPr>
        <w:t xml:space="preserve">如基金管理人或基金托管人发现基金估值违反基金合同订明的估值方法、程序及相关法律法规的规定或者未能充分维护基金份额持有人利益时，应立即通知对方，共同查明原因，双方协商解决。 </w:t>
      </w:r>
    </w:p>
    <w:p>
      <w:pPr>
        <w:adjustRightInd w:val="0"/>
        <w:snapToGrid w:val="0"/>
        <w:spacing w:line="360" w:lineRule="auto"/>
        <w:ind w:firstLine="480"/>
        <w:rPr>
          <w:rFonts w:hint="eastAsia" w:ascii="宋体" w:hAnsi="宋体" w:cs="宋体"/>
          <w:sz w:val="24"/>
        </w:rPr>
      </w:pPr>
      <w:r>
        <w:rPr>
          <w:rFonts w:hint="eastAsia" w:ascii="宋体" w:hAnsi="宋体" w:cs="宋体"/>
          <w:sz w:val="24"/>
        </w:rPr>
        <w:t xml:space="preserve">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基金管理人向基金托管人出具盖章的书面说明后，按照基金管理人对基金净值的计算结果对外予以公布。        </w:t>
      </w:r>
    </w:p>
    <w:p>
      <w:pPr>
        <w:adjustRightInd w:val="0"/>
        <w:snapToGrid w:val="0"/>
        <w:spacing w:line="360" w:lineRule="auto"/>
        <w:ind w:firstLine="480"/>
        <w:rPr>
          <w:rStyle w:val="39"/>
          <w:rFonts w:hint="eastAsia" w:ascii="宋体" w:hAnsi="宋体" w:cs="宋体"/>
          <w:sz w:val="24"/>
        </w:rPr>
      </w:pPr>
      <w:r>
        <w:rPr>
          <w:rStyle w:val="39"/>
          <w:rFonts w:hint="eastAsia" w:ascii="宋体" w:hAnsi="宋体" w:cs="宋体"/>
          <w:sz w:val="24"/>
        </w:rPr>
        <w:t>3.特殊情形的处理</w:t>
      </w:r>
    </w:p>
    <w:p>
      <w:pPr>
        <w:adjustRightInd w:val="0"/>
        <w:snapToGrid w:val="0"/>
        <w:spacing w:line="360" w:lineRule="auto"/>
        <w:ind w:firstLine="480" w:firstLineChars="200"/>
        <w:rPr>
          <w:rStyle w:val="39"/>
          <w:rFonts w:hint="eastAsia" w:ascii="宋体" w:hAnsi="宋体" w:cs="宋体"/>
          <w:sz w:val="24"/>
        </w:rPr>
      </w:pPr>
      <w:r>
        <w:rPr>
          <w:rStyle w:val="39"/>
          <w:rFonts w:hint="eastAsia" w:ascii="宋体" w:hAnsi="宋体" w:cs="宋体"/>
          <w:sz w:val="24"/>
        </w:rPr>
        <w:t>基金管理人、基金托管人按估值方法的第（14）项进行估值时，所造成的误差不作为基金份额净值错误处理。</w:t>
      </w:r>
    </w:p>
    <w:bookmarkEnd w:id="86"/>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由于有关会计制度变化或不可抗力原因，或由于证券、期货交易所或登记结算公司及存款银行等第三方机构发送的数据错误、遗漏、市场规则变更等非基金管理人与基金托管人原因，基金管理人和基金托管人虽然已经采取必要、适当、合理的措施进行检查，但是未能发现该错误的，由此造成的基金资产估值错误，基金管理人和基金托管人免除赔偿责任。但基金管理人和基金托管人应当积极采取必要的措施消除或减轻由此造成的影响。</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（三）基金份额净值错误的处理方式</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1.当任一类基金份额净值小数点后4位以内（含第4位）发生差错时，视为该类基金份额净值错误；基金份额净值计算出现错误时，基金管理人应当立即予以纠正，通报基金托管人，并采取合理的措施防止损失进一步扩大；</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2.错误偏差达到该类基金份额净值的0.25%时，基金管理人应当通报基金托管人并报中国证监会备案；错误偏差达到该类基金份额净值的0.50%时，基金管理人应当公告，并报中国证监会备案；当发生净值计算错误时，由基金管理人负责处理，由此给基金份额持有人和基金造成损失的，应由基金管理人先行赔付，基金管理人按差错情形，有权向其他当事人追偿。</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3.当基金份额净值计算差错给基金和基金份额持有人造成损失需要进行赔偿时，基金管理人和基金托管人应根据实际情况界定双方承担的责任，经确认后按以下条款进行赔偿：</w:t>
      </w:r>
    </w:p>
    <w:p>
      <w:pPr>
        <w:adjustRightInd w:val="0"/>
        <w:snapToGrid w:val="0"/>
        <w:spacing w:line="360" w:lineRule="auto"/>
        <w:ind w:firstLine="480" w:firstLineChars="200"/>
        <w:rPr>
          <w:rFonts w:hint="eastAsia" w:ascii="宋体" w:hAnsi="宋体" w:cs="Arial"/>
          <w:sz w:val="24"/>
        </w:rPr>
      </w:pPr>
      <w:r>
        <w:rPr>
          <w:rFonts w:ascii="宋体" w:hAnsi="宋体"/>
          <w:sz w:val="24"/>
        </w:rPr>
        <w:t>(1)本基金的基金会计责任方由基金管理人担任，与本基金有关的会计问题，如经双方在平等基础上充分讨论后，尚不能达成一致时，按基金管理人的建议执行，由此给基金份额持有人和基金财产造成的</w:t>
      </w:r>
      <w:r>
        <w:rPr>
          <w:rFonts w:hint="eastAsia" w:ascii="宋体" w:hAnsi="宋体" w:cs="Arial"/>
          <w:sz w:val="24"/>
        </w:rPr>
        <w:t>损失，由基金管理人负责赔付。</w:t>
      </w:r>
    </w:p>
    <w:p>
      <w:pPr>
        <w:adjustRightInd w:val="0"/>
        <w:snapToGrid w:val="0"/>
        <w:spacing w:line="360" w:lineRule="auto"/>
        <w:ind w:firstLine="480" w:firstLineChars="200"/>
        <w:rPr>
          <w:rFonts w:hint="eastAsia" w:ascii="宋体" w:hAnsi="宋体" w:cs="Arial"/>
          <w:sz w:val="24"/>
        </w:rPr>
      </w:pPr>
      <w:r>
        <w:rPr>
          <w:rFonts w:ascii="宋体" w:hAnsi="宋体" w:cs="Arial"/>
          <w:sz w:val="24"/>
        </w:rPr>
        <w:t>(2)</w:t>
      </w:r>
      <w:r>
        <w:rPr>
          <w:rFonts w:hint="eastAsia" w:ascii="宋体" w:hAnsi="宋体" w:cs="Arial"/>
          <w:sz w:val="24"/>
        </w:rPr>
        <w:t>若基金管理人计算的各类基金份额净值已由基金托管人复核确认后公告，而且基金托管人未对计算过程提出疑义或要求基金管理人书面说明，该类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pPr>
        <w:adjustRightInd w:val="0"/>
        <w:snapToGrid w:val="0"/>
        <w:spacing w:line="360" w:lineRule="auto"/>
        <w:ind w:firstLine="480" w:firstLineChars="200"/>
        <w:rPr>
          <w:rFonts w:hint="eastAsia" w:ascii="宋体" w:hAnsi="宋体" w:cs="Arial"/>
          <w:sz w:val="24"/>
        </w:rPr>
      </w:pPr>
      <w:r>
        <w:rPr>
          <w:rFonts w:ascii="宋体" w:hAnsi="宋体" w:cs="Arial"/>
          <w:sz w:val="24"/>
        </w:rPr>
        <w:t>(3)如基金管理人和基金托管人对各类基金份额净值的计算结果，虽然多次重新计算和核对，尚不能达成一致时，为避免不能按时公布各类基金份额净值的情形，以基金管理人的计算结果对外公布，由此给基金份额持有人和基金造成的损失，由基金管理人负责赔付。</w:t>
      </w:r>
    </w:p>
    <w:p>
      <w:pPr>
        <w:adjustRightInd w:val="0"/>
        <w:snapToGrid w:val="0"/>
        <w:spacing w:line="360" w:lineRule="auto"/>
        <w:ind w:firstLine="480" w:firstLineChars="200"/>
        <w:rPr>
          <w:rFonts w:hint="eastAsia" w:ascii="宋体" w:hAnsi="宋体" w:cs="Arial"/>
          <w:sz w:val="24"/>
        </w:rPr>
      </w:pPr>
      <w:r>
        <w:rPr>
          <w:rFonts w:ascii="宋体" w:hAnsi="宋体" w:cs="Arial"/>
          <w:sz w:val="24"/>
        </w:rPr>
        <w:t>(4)由于基金管理人提供的信息错误（包括但不限于基金申购或赎回金额等），进而导致各类基金份额净值计算错误而引起的基金份额持有人和基金财产的损失，由</w:t>
      </w:r>
      <w:r>
        <w:rPr>
          <w:rFonts w:hint="eastAsia" w:ascii="宋体" w:hAnsi="宋体" w:cs="Arial"/>
          <w:sz w:val="24"/>
        </w:rPr>
        <w:t>基金管理人负责赔付。</w:t>
      </w:r>
    </w:p>
    <w:p>
      <w:pPr>
        <w:adjustRightInd w:val="0"/>
        <w:snapToGrid w:val="0"/>
        <w:spacing w:line="360" w:lineRule="auto"/>
        <w:ind w:firstLine="480" w:firstLineChars="200"/>
        <w:rPr>
          <w:rFonts w:hint="eastAsia" w:ascii="宋体" w:hAnsi="宋体" w:cs="Arial"/>
          <w:sz w:val="24"/>
        </w:rPr>
      </w:pPr>
      <w:r>
        <w:rPr>
          <w:rFonts w:ascii="宋体" w:hAnsi="宋体" w:cs="Arial"/>
          <w:sz w:val="24"/>
        </w:rPr>
        <w:t>4</w:t>
      </w:r>
      <w:r>
        <w:rPr>
          <w:rFonts w:hint="eastAsia" w:ascii="宋体" w:hAnsi="宋体" w:cs="Arial"/>
          <w:sz w:val="24"/>
        </w:rPr>
        <w:t>.基金管理人和基金托管人由于各自技术系统设置而产生的净值计算尾差，以基金管理人计算结果为准。</w:t>
      </w:r>
    </w:p>
    <w:p>
      <w:pPr>
        <w:adjustRightInd w:val="0"/>
        <w:snapToGrid w:val="0"/>
        <w:spacing w:line="360" w:lineRule="auto"/>
        <w:ind w:firstLine="480" w:firstLineChars="200"/>
        <w:rPr>
          <w:rFonts w:hint="eastAsia" w:ascii="宋体" w:hAnsi="宋体" w:cs="Arial"/>
          <w:sz w:val="24"/>
        </w:rPr>
      </w:pPr>
      <w:r>
        <w:rPr>
          <w:rFonts w:ascii="宋体" w:hAnsi="宋体" w:cs="Arial"/>
          <w:sz w:val="24"/>
        </w:rPr>
        <w:t>5</w:t>
      </w:r>
      <w:r>
        <w:rPr>
          <w:rFonts w:hint="eastAsia" w:ascii="宋体" w:hAnsi="宋体" w:cs="Arial"/>
          <w:sz w:val="24"/>
        </w:rPr>
        <w:t>.前述内容如法律法规或监管机关另有规定的，从其规定处理。如果行业另有通行做法，基金管理人和基金托管人应本着平等和保护基金份额持有人利益的原则进行协商。</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（四）暂停估值的情形</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1、基金投资所涉及的证券、期货交易市场或外汇市场遇法定节假日或因其他原因暂停营业时；</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2、因不可抗力致使基金管理人、基金托管人无法准确评估基金资产价值时；</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3、当特定资产占前一估值日基金资产净值50%以上的，经与基金托管人协商确认后，基金管理人应当暂停估值；</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4、法律法规规定、中国证监会和基金合同认定的其它情形。</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（五）基金会计制度</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按国家有关部门规定的会计制度执行。</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（六）基金账册的建立</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净值的计算和公告的，以基金管理人的账册为准。</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（七）基金财务报表与报告的编制和复核</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1.财务报表的编制</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基金财务报表由基金管理人编制，基金托管人复核。</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2.报表复核</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基金托管人在收到基金管理人编制的基金财务报表后，进行独立的复核。核对不符时，应及时通知基金管理人共同查出原因，进行调整，直至双方数据完全一致。</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3.财务报表的编制与复核时间安排</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(1)报表的编制</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基金管理人应当在每月结束后5个工作日内完成月度报表的编制；在每个季度结束之日起15个工作日内完成基金季度报告的编制；在上半年结束之日起两个月内完成基金中期报告的编制；在每年结束之日起三个月内完成基金年度报告的编制。基金年度报告的财务会计报告应当经过符合《中华人民共和国证券法》规定的会计师事务所审计。《基金合同》生效不足两个月的，基金管理人可以不编制当期季度报告、中期报告或者年度报告。</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(2)报表的复核</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基金管理人应留足充分的时间，便于基金托管人复核相关报表及报告。如果基金管理人与基金托管人不能于应当发布公告之日之前就相关报表达成一致，基金管理人按照其编制的报表对外发布公告，基金托管人有权就相关情况报中国证监会备案。</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（八）基金管理人应在编制季度报告、中期报告或者年度报告之前及时向基金托管人提供基金业绩比较基准的基础数据和编制结果。</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（九）实施侧袋机制期间的基金资产估值</w:t>
      </w:r>
    </w:p>
    <w:p>
      <w:pPr>
        <w:pStyle w:val="4"/>
        <w:adjustRightInd w:val="0"/>
        <w:snapToGrid w:val="0"/>
        <w:spacing w:line="360" w:lineRule="auto"/>
        <w:ind w:firstLine="480"/>
        <w:rPr>
          <w:rFonts w:hint="eastAsia" w:ascii="宋体" w:hAnsi="宋体" w:cs="Arial"/>
          <w:sz w:val="24"/>
        </w:rPr>
        <w:sectPr>
          <w:footerReference r:id="rId14" w:type="default"/>
          <w:pgSz w:w="11906" w:h="16838"/>
          <w:pgMar w:top="1418" w:right="1701" w:bottom="1418" w:left="1701" w:header="851" w:footer="992" w:gutter="0"/>
          <w:pgNumType w:start="1"/>
          <w:cols w:space="425" w:num="1"/>
          <w:docGrid w:type="lines" w:linePitch="312" w:charSpace="0"/>
        </w:sectPr>
      </w:pPr>
      <w:r>
        <w:rPr>
          <w:rFonts w:hint="eastAsia" w:ascii="宋体" w:hAnsi="宋体" w:cs="Arial"/>
          <w:sz w:val="24"/>
        </w:rPr>
        <w:t>本基金实施侧袋机制的，应根据本部分的约定对主袋账户资产进行估值并披露主袋账户的基金净值信息，暂停披露侧袋账户份额净值。</w:t>
      </w:r>
    </w:p>
    <w:p>
      <w:pPr>
        <w:pStyle w:val="3"/>
        <w:spacing w:line="360" w:lineRule="auto"/>
        <w:jc w:val="center"/>
        <w:rPr>
          <w:rFonts w:hint="eastAsia" w:ascii="宋体" w:hAnsi="宋体" w:eastAsia="宋体"/>
          <w:sz w:val="30"/>
        </w:rPr>
      </w:pPr>
      <w:bookmarkStart w:id="87" w:name="_Toc124325893"/>
      <w:r>
        <w:rPr>
          <w:rFonts w:hint="eastAsia" w:ascii="宋体" w:hAnsi="宋体" w:eastAsia="宋体"/>
          <w:sz w:val="30"/>
        </w:rPr>
        <w:t>九、基金收益分配</w:t>
      </w:r>
      <w:bookmarkEnd w:id="87"/>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基金收益分配是指按规定将基金的可分配收益按基金份额进行比例分配。</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（一）基金收益分配的原则</w:t>
      </w:r>
    </w:p>
    <w:p>
      <w:pPr>
        <w:adjustRightInd w:val="0"/>
        <w:snapToGrid w:val="0"/>
        <w:spacing w:line="360" w:lineRule="auto"/>
        <w:ind w:firstLine="480" w:firstLineChars="200"/>
        <w:outlineLvl w:val="0"/>
        <w:rPr>
          <w:rFonts w:hint="eastAsia" w:ascii="宋体" w:hAnsi="宋体" w:cs="宋体"/>
          <w:sz w:val="24"/>
        </w:rPr>
      </w:pPr>
      <w:r>
        <w:rPr>
          <w:rFonts w:hint="eastAsia" w:ascii="宋体" w:hAnsi="宋体" w:cs="宋体"/>
          <w:sz w:val="24"/>
        </w:rPr>
        <w:t xml:space="preserve">1、本基金的收益分配仅有现金分红一种方式； </w:t>
      </w:r>
    </w:p>
    <w:p>
      <w:pPr>
        <w:adjustRightInd w:val="0"/>
        <w:snapToGrid w:val="0"/>
        <w:spacing w:line="360" w:lineRule="auto"/>
        <w:ind w:firstLine="480" w:firstLineChars="200"/>
        <w:outlineLvl w:val="0"/>
        <w:rPr>
          <w:rFonts w:hint="eastAsia" w:ascii="宋体" w:hAnsi="宋体" w:cs="宋体"/>
          <w:sz w:val="24"/>
        </w:rPr>
      </w:pPr>
      <w:r>
        <w:rPr>
          <w:rFonts w:hint="eastAsia" w:ascii="宋体" w:hAnsi="宋体" w:cs="宋体"/>
          <w:sz w:val="24"/>
        </w:rPr>
        <w:t xml:space="preserve">2、基金收益分配后各类基金份额净值不能低于面值，即基金收益分配基准日的各类基金份额净值减去每单位该类基金份额收益分配金额后不能低于面值； </w:t>
      </w:r>
    </w:p>
    <w:p>
      <w:pPr>
        <w:adjustRightInd w:val="0"/>
        <w:snapToGrid w:val="0"/>
        <w:spacing w:line="360" w:lineRule="auto"/>
        <w:ind w:firstLine="480" w:firstLineChars="200"/>
        <w:outlineLvl w:val="0"/>
        <w:rPr>
          <w:rFonts w:hint="eastAsia" w:ascii="宋体" w:hAnsi="宋体" w:cs="宋体"/>
          <w:sz w:val="24"/>
        </w:rPr>
      </w:pPr>
      <w:r>
        <w:rPr>
          <w:rFonts w:hint="eastAsia" w:ascii="宋体" w:hAnsi="宋体" w:cs="宋体"/>
          <w:sz w:val="24"/>
        </w:rPr>
        <w:t xml:space="preserve">3、由于本基金A类基金份额不收取销售服务费，而C类基金份额收取销售服务费，各基金份额类别对应的可供分配利润将有所不同，本基金同一类别的每一基金份额享有同等分配权； </w:t>
      </w:r>
    </w:p>
    <w:p>
      <w:pPr>
        <w:adjustRightInd w:val="0"/>
        <w:snapToGrid w:val="0"/>
        <w:spacing w:line="360" w:lineRule="auto"/>
        <w:ind w:firstLine="480" w:firstLineChars="200"/>
        <w:outlineLvl w:val="0"/>
        <w:rPr>
          <w:rFonts w:hint="eastAsia" w:ascii="宋体" w:hAnsi="宋体" w:cs="宋体"/>
          <w:sz w:val="24"/>
        </w:rPr>
      </w:pPr>
      <w:r>
        <w:rPr>
          <w:rFonts w:hint="eastAsia" w:ascii="宋体" w:hAnsi="宋体" w:cs="宋体"/>
          <w:sz w:val="24"/>
        </w:rPr>
        <w:t xml:space="preserve">4、法律法规或监管机关另有规定的，从其规定。  </w:t>
      </w:r>
    </w:p>
    <w:p>
      <w:pPr>
        <w:adjustRightInd w:val="0"/>
        <w:snapToGrid w:val="0"/>
        <w:spacing w:line="360" w:lineRule="auto"/>
        <w:ind w:firstLine="480" w:firstLineChars="200"/>
        <w:outlineLvl w:val="0"/>
        <w:rPr>
          <w:rFonts w:hint="eastAsia" w:ascii="宋体" w:hAnsi="宋体" w:cs="宋体"/>
          <w:sz w:val="24"/>
        </w:rPr>
      </w:pPr>
      <w:r>
        <w:rPr>
          <w:rFonts w:hint="eastAsia" w:ascii="宋体" w:hAnsi="宋体" w:cs="宋体"/>
          <w:sz w:val="24"/>
        </w:rPr>
        <w:t>在不违反法律法规及基金合同约定，并对基金份额持有人利益无实质不利影响的前提下，基金管理人与基金托管人协商一致后可对基金收益分配原则和支付方式进行调整，不需召开基金份额持有人大会。</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（二）基金收益分配的时间和程序</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本基金收益分配方案由基金管理人拟</w:t>
      </w:r>
      <w:r>
        <w:rPr>
          <w:rFonts w:ascii="宋体" w:hAnsi="宋体" w:cs="Arial"/>
          <w:sz w:val="24"/>
        </w:rPr>
        <w:t>定</w:t>
      </w:r>
      <w:r>
        <w:rPr>
          <w:rFonts w:hint="eastAsia" w:ascii="宋体" w:hAnsi="宋体" w:cs="Arial"/>
          <w:sz w:val="24"/>
        </w:rPr>
        <w:t>，并由基金托管人复核，依据相关规定进行公告。基金收益分配方案公告后(依据具体方案的规定)，基金管理人就支付的现金红利向基金托管人发送划款指令，基金托管人按照基金管理人的指令及时进行分红资金的划付。</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基金收益分配时所发生的银行转账或其他手续费用由投资者自行承担。</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（三）实施侧袋机制期间的收益分配</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本基金实施侧袋机制的，侧袋账户不进行收益分配，详见招募说明书的规定。</w:t>
      </w:r>
    </w:p>
    <w:p>
      <w:pPr>
        <w:adjustRightInd w:val="0"/>
        <w:snapToGrid w:val="0"/>
        <w:spacing w:line="360" w:lineRule="auto"/>
        <w:rPr>
          <w:rFonts w:hint="eastAsia" w:ascii="宋体" w:hAnsi="宋体" w:cs="Arial"/>
          <w:sz w:val="24"/>
        </w:rPr>
        <w:sectPr>
          <w:footerReference r:id="rId15" w:type="default"/>
          <w:pgSz w:w="11906" w:h="16838"/>
          <w:pgMar w:top="1418" w:right="1701" w:bottom="1418" w:left="1701" w:header="851" w:footer="992" w:gutter="0"/>
          <w:pgNumType w:start="1"/>
          <w:cols w:space="425" w:num="1"/>
          <w:docGrid w:type="lines" w:linePitch="312" w:charSpace="0"/>
        </w:sectPr>
      </w:pPr>
    </w:p>
    <w:p>
      <w:pPr>
        <w:pStyle w:val="3"/>
        <w:spacing w:line="360" w:lineRule="auto"/>
        <w:jc w:val="center"/>
        <w:rPr>
          <w:rFonts w:hint="eastAsia" w:ascii="宋体" w:hAnsi="宋体" w:eastAsia="宋体"/>
          <w:sz w:val="30"/>
        </w:rPr>
      </w:pPr>
      <w:bookmarkStart w:id="88" w:name="_Toc124325894"/>
      <w:r>
        <w:rPr>
          <w:rFonts w:hint="eastAsia" w:ascii="宋体" w:hAnsi="宋体" w:eastAsia="宋体"/>
          <w:sz w:val="30"/>
        </w:rPr>
        <w:t>十、基金信息披露</w:t>
      </w:r>
      <w:bookmarkEnd w:id="88"/>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（一）保密义务</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基金托管人和基金管理人应按法律法规、《基金合同》的有关规定进行信息披露，拟公开披露的信息在公开披露之前应予保密。除按《基金法》、《基金合同》、《</w:t>
      </w:r>
      <w:r>
        <w:rPr>
          <w:rFonts w:hint="eastAsia"/>
          <w:bCs/>
          <w:sz w:val="24"/>
        </w:rPr>
        <w:t>公开募集</w:t>
      </w:r>
      <w:r>
        <w:rPr>
          <w:bCs/>
          <w:sz w:val="24"/>
        </w:rPr>
        <w:t>证券投资基金信息披露管理办法</w:t>
      </w:r>
      <w:r>
        <w:rPr>
          <w:rFonts w:hint="eastAsia" w:ascii="宋体" w:hAnsi="宋体" w:cs="Arial"/>
          <w:sz w:val="24"/>
        </w:rPr>
        <w:t>》、《公开募集开放式证券投资基金流动性风险管理规定》及其他有关规定进行信息披露外，基金管理人和基金托管人对基金运作中产生的信息以及从对方获得的业务信息应予保密。但是，如下情况不应视为基金管理人或基金托管人违反保密义务：</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1.非因基金管理人和基金托管人的原因导致保密信息被披露、泄露或公开；</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2.基金管理人和基金托管人为遵守和服从法院判决或裁定、仲裁裁决或中国证监会等监管机构的命令、决定所做出的信息披露或公开；</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3. 因审计、法律等专业服务向外部专业顾问提供信息。</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（二）信息披露的内容</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基金的信息披露内容主要包括基金招募说明书、《基金合同》、托管协议、基金产品资料概要、基金份额发售公告、《基金合同》生效公告、基金净值信息、基金份额申购、赎回价格、基金定期报告（包括基金年度报告、基金中期报告和基金季度报告）、临时报告、澄清公告、清算报告、基金份额持有人大会决议、投资资产支持证券、</w:t>
      </w:r>
      <w:r>
        <w:rPr>
          <w:rFonts w:hint="eastAsia" w:ascii="宋体" w:hAnsi="宋体" w:cs="Arial"/>
          <w:bCs/>
          <w:sz w:val="24"/>
        </w:rPr>
        <w:t>股指期货、</w:t>
      </w:r>
      <w:r>
        <w:rPr>
          <w:rFonts w:ascii="宋体" w:hAnsi="宋体" w:cs="Arial"/>
          <w:bCs/>
          <w:sz w:val="24"/>
        </w:rPr>
        <w:t>国债期货</w:t>
      </w:r>
      <w:r>
        <w:rPr>
          <w:rFonts w:hint="eastAsia" w:ascii="宋体" w:hAnsi="宋体" w:cs="Arial"/>
          <w:bCs/>
          <w:sz w:val="24"/>
        </w:rPr>
        <w:t>、</w:t>
      </w:r>
      <w:r>
        <w:rPr>
          <w:rFonts w:ascii="宋体" w:hAnsi="宋体" w:cs="Arial"/>
          <w:bCs/>
          <w:sz w:val="24"/>
        </w:rPr>
        <w:t>股票期权</w:t>
      </w:r>
      <w:r>
        <w:rPr>
          <w:rFonts w:hint="eastAsia" w:ascii="宋体" w:hAnsi="宋体" w:cs="Arial"/>
          <w:bCs/>
          <w:sz w:val="24"/>
        </w:rPr>
        <w:t>、港股通标的股票、</w:t>
      </w:r>
      <w:r>
        <w:rPr>
          <w:rFonts w:hint="eastAsia"/>
          <w:bCs/>
          <w:sz w:val="24"/>
        </w:rPr>
        <w:t>信用衍生品、</w:t>
      </w:r>
      <w:r>
        <w:rPr>
          <w:rFonts w:hint="eastAsia" w:ascii="宋体" w:hAnsi="宋体" w:cs="Arial"/>
          <w:bCs/>
          <w:sz w:val="24"/>
        </w:rPr>
        <w:t>参与融资业务的信息披露、实施侧袋机制期间的信息披露、</w:t>
      </w:r>
      <w:r>
        <w:rPr>
          <w:rFonts w:hint="eastAsia" w:ascii="宋体" w:hAnsi="宋体" w:cs="Arial"/>
          <w:sz w:val="24"/>
        </w:rPr>
        <w:t>中国证监会规定的其他信息。基金年度报告中的财务会计报告需经</w:t>
      </w:r>
      <w:r>
        <w:rPr>
          <w:rFonts w:hint="eastAsia"/>
          <w:bCs/>
          <w:sz w:val="24"/>
        </w:rPr>
        <w:t>符合《中华人民共和国证券法》规定</w:t>
      </w:r>
      <w:r>
        <w:rPr>
          <w:rFonts w:hint="eastAsia" w:ascii="宋体" w:hAnsi="宋体" w:cs="Arial"/>
          <w:sz w:val="24"/>
        </w:rPr>
        <w:t>的会计师事务所审计后，方可披露。</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（三）基金托管人和基金管理人在信息披露中的职责和信息披露程序</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1.职责</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有关规定的应由基金托管人复核的事项进行复核，基金托管人复核无误后，由基金管理人予以公布。</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对于不需要基金托管人复核的信息，基金管理人在公告前应告知基金托管人。</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基金管理人和基金托管人应积极配合、互相监督，保证其履行按照法定方式和限时披露的义务。</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基金管理人应当在中国证监会规定的时间内，将应予披露的基金信息通过规定媒介披露。根据法律法规应由基金托管人公开披露的信息，基金托管人将通过规定媒介公开披露。</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当出现下述情况时，基金管理人和基金托管人可暂停或延迟披露基金相关信息：</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 xml:space="preserve">（1）不可抗力； </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 xml:space="preserve">（2）发生暂停估值的情形； </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（3）法律法规规定、中国证监会或基金合同认定的其他情形。</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2.程序</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按有关规定须经基金托管人复核的信息披露文件，由基金管理人起草、并经基金托管人复核后由基金管理人公告。发生《基金合同》中规定需要披露的事项时，按《基金合同》规定公布。</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3.信息文本的存放</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予以披露的信息文本，</w:t>
      </w:r>
      <w:r>
        <w:rPr>
          <w:rFonts w:hint="eastAsia"/>
          <w:sz w:val="24"/>
        </w:rPr>
        <w:t>基金管理人</w:t>
      </w:r>
      <w:r>
        <w:rPr>
          <w:rFonts w:hint="eastAsia"/>
          <w:bCs/>
          <w:sz w:val="24"/>
        </w:rPr>
        <w:t>、</w:t>
      </w:r>
      <w:r>
        <w:rPr>
          <w:rFonts w:hint="eastAsia"/>
          <w:sz w:val="24"/>
        </w:rPr>
        <w:t>基金托管人</w:t>
      </w:r>
      <w:r>
        <w:rPr>
          <w:rFonts w:hint="eastAsia"/>
          <w:bCs/>
          <w:sz w:val="24"/>
        </w:rPr>
        <w:t>应当按照相关法律法规规定将信息置备于各自住所，</w:t>
      </w:r>
      <w:r>
        <w:rPr>
          <w:rFonts w:hint="eastAsia" w:ascii="宋体" w:hAnsi="宋体" w:cs="Arial"/>
          <w:sz w:val="24"/>
        </w:rPr>
        <w:t>投资者可以免费查阅。在支付工本费后可在合理时间获得上述文件的复制件或复印件。基金管理人和基金托管人应保证文本的内容与所公告的内容完全一致。</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（四）实施侧袋机制期间的信息披露</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本基金实施侧袋机制的，相关信息披露义务人应当根据法律法规、基金合同和招募说明书的规定进行信息披露，详见招募说明书的规定。</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（五）法律法规或监管部门对适用于本基金的信息披露另有规定的，从其规定。如规定发生变化的，从其最新规定。</w:t>
      </w:r>
    </w:p>
    <w:p>
      <w:pPr>
        <w:adjustRightInd w:val="0"/>
        <w:snapToGrid w:val="0"/>
        <w:spacing w:line="360" w:lineRule="auto"/>
        <w:ind w:firstLine="480" w:firstLineChars="200"/>
        <w:rPr>
          <w:rFonts w:hint="eastAsia" w:ascii="宋体" w:hAnsi="宋体" w:cs="Arial"/>
          <w:sz w:val="24"/>
        </w:rPr>
      </w:pPr>
    </w:p>
    <w:p>
      <w:pPr>
        <w:pStyle w:val="4"/>
        <w:spacing w:line="360" w:lineRule="auto"/>
        <w:ind w:firstLine="0" w:firstLineChars="0"/>
        <w:rPr>
          <w:rFonts w:hint="eastAsia" w:ascii="宋体" w:hAnsi="宋体" w:cs="Arial"/>
          <w:sz w:val="24"/>
        </w:rPr>
        <w:sectPr>
          <w:footerReference r:id="rId16" w:type="default"/>
          <w:pgSz w:w="11906" w:h="16838"/>
          <w:pgMar w:top="1418" w:right="1701" w:bottom="1418" w:left="1701" w:header="851" w:footer="992" w:gutter="0"/>
          <w:pgNumType w:start="1"/>
          <w:cols w:space="425" w:num="1"/>
          <w:docGrid w:type="lines" w:linePitch="312" w:charSpace="0"/>
        </w:sectPr>
      </w:pPr>
    </w:p>
    <w:p>
      <w:pPr>
        <w:pStyle w:val="3"/>
        <w:spacing w:line="360" w:lineRule="auto"/>
        <w:jc w:val="center"/>
        <w:rPr>
          <w:rFonts w:hint="eastAsia" w:ascii="宋体" w:hAnsi="宋体" w:eastAsia="宋体"/>
          <w:sz w:val="30"/>
        </w:rPr>
      </w:pPr>
      <w:bookmarkStart w:id="89" w:name="_Toc124325895"/>
      <w:r>
        <w:rPr>
          <w:rFonts w:hint="eastAsia" w:ascii="宋体" w:hAnsi="宋体" w:eastAsia="宋体"/>
          <w:sz w:val="30"/>
        </w:rPr>
        <w:t>十一、基金费用</w:t>
      </w:r>
      <w:bookmarkEnd w:id="89"/>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（一）基金管理费的计提比例和计提方法</w:t>
      </w:r>
    </w:p>
    <w:p>
      <w:pPr>
        <w:pStyle w:val="23"/>
        <w:widowControl w:val="0"/>
        <w:spacing w:before="0" w:beforeAutospacing="0" w:after="0" w:afterAutospacing="0" w:line="360" w:lineRule="auto"/>
        <w:ind w:firstLine="420"/>
        <w:rPr>
          <w:rFonts w:hint="eastAsia"/>
        </w:rPr>
      </w:pPr>
      <w:r>
        <w:rPr>
          <w:rFonts w:hint="eastAsia"/>
        </w:rPr>
        <w:t xml:space="preserve">1、基金管理人的管理费 </w:t>
      </w:r>
    </w:p>
    <w:p>
      <w:pPr>
        <w:adjustRightInd w:val="0"/>
        <w:snapToGrid w:val="0"/>
        <w:spacing w:line="360" w:lineRule="auto"/>
        <w:ind w:firstLine="480" w:firstLineChars="200"/>
        <w:rPr>
          <w:rFonts w:hint="eastAsia" w:ascii="宋体" w:hAnsi="宋体"/>
          <w:sz w:val="24"/>
        </w:rPr>
      </w:pPr>
      <w:r>
        <w:rPr>
          <w:rFonts w:hint="eastAsia" w:ascii="宋体" w:hAnsi="宋体"/>
          <w:sz w:val="24"/>
        </w:rPr>
        <w:t>本基金根据每一基金份额的持有期限与持有期间年化收益率，在赎回、转出基金份额或基金合同终止的情形发生时确定该笔基金份额对应的管理费。当投资者赎回、转出基金份额或基金合同终止的情形发生时，持有期限不足一年（即365天，下同），则按1.20%年费率收取管理费；持有期限达到一年及以上，则根据持有期间年化收益率分为以下三种情况，分别确定对应的管理费率档位：</w:t>
      </w:r>
    </w:p>
    <w:p>
      <w:pPr>
        <w:adjustRightInd w:val="0"/>
        <w:snapToGrid w:val="0"/>
        <w:spacing w:line="360" w:lineRule="auto"/>
        <w:ind w:firstLine="480" w:firstLineChars="200"/>
        <w:rPr>
          <w:rFonts w:hint="eastAsia" w:ascii="宋体" w:hAnsi="宋体"/>
          <w:sz w:val="24"/>
        </w:rPr>
      </w:pPr>
      <w:r>
        <w:rPr>
          <w:rFonts w:hint="eastAsia" w:ascii="宋体" w:hAnsi="宋体"/>
          <w:sz w:val="24"/>
        </w:rPr>
        <w:t>若持有期间相对业绩比较基准的年化超额收益率（扣除超额管理费后）超过6%且持有收益率（扣除超额管理费后）为正，按1.50%年费率确认管理费；若持有期间的年化超额收益率在-3%及以下，按0.60%年费率确认管理费；其他情形按1.20%年费率确认管理费。</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2"/>
        <w:gridCol w:w="2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2" w:type="dxa"/>
          </w:tcPr>
          <w:p>
            <w:pPr>
              <w:adjustRightInd w:val="0"/>
              <w:snapToGrid w:val="0"/>
              <w:spacing w:line="360" w:lineRule="auto"/>
              <w:ind w:firstLine="897" w:firstLineChars="374"/>
              <w:rPr>
                <w:rFonts w:hint="eastAsia" w:ascii="宋体" w:hAnsi="宋体" w:cs="宋体"/>
              </w:rPr>
            </w:pPr>
            <w:r>
              <w:rPr>
                <w:rFonts w:hint="eastAsia" w:ascii="宋体" w:hAnsi="宋体"/>
                <w:sz w:val="24"/>
              </w:rPr>
              <w:t>持有期间年化收益率（R）</w:t>
            </w:r>
          </w:p>
        </w:tc>
        <w:tc>
          <w:tcPr>
            <w:tcW w:w="2742" w:type="dxa"/>
          </w:tcPr>
          <w:p>
            <w:pPr>
              <w:adjustRightInd w:val="0"/>
              <w:snapToGrid w:val="0"/>
              <w:spacing w:line="360" w:lineRule="auto"/>
              <w:ind w:left="480"/>
              <w:rPr>
                <w:rFonts w:hint="eastAsia" w:ascii="宋体" w:hAnsi="宋体" w:cs="宋体"/>
              </w:rPr>
            </w:pPr>
            <w:r>
              <w:rPr>
                <w:rFonts w:hint="eastAsia" w:ascii="宋体" w:hAnsi="宋体"/>
                <w:sz w:val="24"/>
              </w:rPr>
              <w:t>管理费率（年费率）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2" w:type="dxa"/>
          </w:tcPr>
          <w:p>
            <w:pPr>
              <w:adjustRightInd w:val="0"/>
              <w:snapToGrid w:val="0"/>
              <w:spacing w:line="360" w:lineRule="auto"/>
              <w:ind w:firstLine="960" w:firstLineChars="400"/>
              <w:rPr>
                <w:rFonts w:hint="eastAsia" w:ascii="宋体" w:hAnsi="宋体" w:cs="宋体"/>
              </w:rPr>
            </w:pPr>
            <w:r>
              <w:rPr>
                <w:rFonts w:hint="eastAsia" w:ascii="宋体" w:hAnsi="宋体"/>
                <w:sz w:val="24"/>
              </w:rPr>
              <w:t>R＞</w:t>
            </w:r>
            <w:r>
              <w:rPr>
                <w:bCs/>
                <w:sz w:val="24"/>
              </w:rPr>
              <w:t>R</w:t>
            </w:r>
            <w:r>
              <w:rPr>
                <w:rFonts w:ascii="Cambria" w:hAnsi="Cambria"/>
                <w:spacing w:val="-2"/>
                <w:sz w:val="24"/>
                <w:vertAlign w:val="subscript"/>
              </w:rPr>
              <w:t>b</w:t>
            </w:r>
            <w:r>
              <w:rPr>
                <w:rFonts w:hint="eastAsia" w:ascii="宋体" w:hAnsi="宋体"/>
                <w:sz w:val="24"/>
              </w:rPr>
              <w:t>+6%，R＞0</w:t>
            </w:r>
          </w:p>
        </w:tc>
        <w:tc>
          <w:tcPr>
            <w:tcW w:w="2742" w:type="dxa"/>
          </w:tcPr>
          <w:p>
            <w:pPr>
              <w:adjustRightInd w:val="0"/>
              <w:snapToGrid w:val="0"/>
              <w:spacing w:line="360" w:lineRule="auto"/>
              <w:jc w:val="center"/>
              <w:rPr>
                <w:rFonts w:hint="eastAsia" w:ascii="宋体" w:hAnsi="宋体" w:cs="宋体"/>
              </w:rPr>
            </w:pPr>
            <w:r>
              <w:rPr>
                <w:rFonts w:hint="eastAsia" w:ascii="宋体" w:hAnsi="宋体"/>
                <w:sz w:val="24"/>
              </w:rPr>
              <w:t>1.50%/年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2" w:type="dxa"/>
          </w:tcPr>
          <w:p>
            <w:pPr>
              <w:pStyle w:val="25"/>
              <w:numPr>
                <w:ilvl w:val="255"/>
                <w:numId w:val="0"/>
              </w:numPr>
              <w:ind w:left="480" w:firstLine="480" w:firstLineChars="200"/>
              <w:rPr>
                <w:rFonts w:hint="eastAsia" w:ascii="宋体" w:hAnsi="宋体" w:eastAsia="宋体" w:cs="宋体"/>
                <w:szCs w:val="24"/>
              </w:rPr>
            </w:pPr>
            <w:r>
              <w:rPr>
                <w:rFonts w:hint="eastAsia" w:ascii="宋体" w:hAnsi="宋体" w:cs="宋体"/>
                <w:szCs w:val="24"/>
              </w:rPr>
              <w:t>R≤</w:t>
            </w:r>
            <w:r>
              <w:rPr>
                <w:rFonts w:eastAsia="宋体"/>
                <w:bCs/>
                <w:szCs w:val="24"/>
              </w:rPr>
              <w:t>R</w:t>
            </w:r>
            <w:r>
              <w:rPr>
                <w:rFonts w:ascii="Cambria" w:hAnsi="Cambria" w:eastAsia="宋体"/>
                <w:spacing w:val="-2"/>
                <w:szCs w:val="24"/>
                <w:vertAlign w:val="subscript"/>
              </w:rPr>
              <w:t>b</w:t>
            </w:r>
            <w:r>
              <w:rPr>
                <w:rFonts w:hint="eastAsia" w:ascii="宋体" w:hAnsi="宋体" w:cs="宋体"/>
                <w:szCs w:val="24"/>
              </w:rPr>
              <w:t>-3%</w:t>
            </w:r>
          </w:p>
        </w:tc>
        <w:tc>
          <w:tcPr>
            <w:tcW w:w="2742" w:type="dxa"/>
          </w:tcPr>
          <w:p>
            <w:pPr>
              <w:adjustRightInd w:val="0"/>
              <w:snapToGrid w:val="0"/>
              <w:spacing w:line="360" w:lineRule="auto"/>
              <w:jc w:val="center"/>
              <w:rPr>
                <w:rFonts w:hint="eastAsia" w:ascii="宋体" w:hAnsi="宋体" w:cs="宋体"/>
              </w:rPr>
            </w:pPr>
            <w:r>
              <w:rPr>
                <w:rFonts w:hint="eastAsia" w:ascii="宋体" w:hAnsi="宋体"/>
                <w:sz w:val="24"/>
              </w:rPr>
              <w:t>0.60%/年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2" w:type="dxa"/>
          </w:tcPr>
          <w:p>
            <w:pPr>
              <w:adjustRightInd w:val="0"/>
              <w:snapToGrid w:val="0"/>
              <w:spacing w:line="360" w:lineRule="auto"/>
              <w:ind w:firstLine="960" w:firstLineChars="400"/>
              <w:rPr>
                <w:rFonts w:hint="eastAsia" w:ascii="宋体" w:hAnsi="宋体" w:cs="宋体"/>
              </w:rPr>
            </w:pPr>
            <w:r>
              <w:rPr>
                <w:rFonts w:hint="eastAsia" w:ascii="宋体" w:hAnsi="宋体"/>
                <w:sz w:val="24"/>
              </w:rPr>
              <w:t>其他情形</w:t>
            </w:r>
          </w:p>
        </w:tc>
        <w:tc>
          <w:tcPr>
            <w:tcW w:w="2742" w:type="dxa"/>
          </w:tcPr>
          <w:p>
            <w:pPr>
              <w:adjustRightInd w:val="0"/>
              <w:snapToGrid w:val="0"/>
              <w:spacing w:line="360" w:lineRule="auto"/>
              <w:jc w:val="center"/>
              <w:rPr>
                <w:rFonts w:hint="eastAsia" w:ascii="宋体" w:hAnsi="宋体" w:cs="宋体"/>
              </w:rPr>
            </w:pPr>
            <w:r>
              <w:rPr>
                <w:rFonts w:hint="eastAsia" w:ascii="宋体" w:hAnsi="宋体"/>
                <w:sz w:val="24"/>
              </w:rPr>
              <w:t>1.20%/年</w:t>
            </w:r>
          </w:p>
        </w:tc>
      </w:tr>
    </w:tbl>
    <w:p>
      <w:pPr>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注：①R为该笔基金份额的年化收益率，</w:t>
      </w:r>
      <w:r>
        <w:rPr>
          <w:bCs/>
          <w:sz w:val="24"/>
          <w:szCs w:val="24"/>
        </w:rPr>
        <w:t>R</w:t>
      </w:r>
      <w:r>
        <w:rPr>
          <w:rFonts w:ascii="Cambria" w:hAnsi="Cambria"/>
          <w:spacing w:val="-2"/>
          <w:sz w:val="24"/>
          <w:szCs w:val="24"/>
          <w:vertAlign w:val="subscript"/>
        </w:rPr>
        <w:t>b</w:t>
      </w:r>
      <w:r>
        <w:rPr>
          <w:rFonts w:hint="eastAsia" w:ascii="宋体" w:hAnsi="宋体"/>
          <w:sz w:val="24"/>
          <w:szCs w:val="24"/>
        </w:rPr>
        <w:t>为本基金业绩比较基准同期年化收益率。</w:t>
      </w:r>
    </w:p>
    <w:p>
      <w:pPr>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②特别的，当持有期限达到一年及以上，R＞</w:t>
      </w:r>
      <w:r>
        <w:rPr>
          <w:bCs/>
          <w:sz w:val="24"/>
          <w:szCs w:val="24"/>
        </w:rPr>
        <w:t>R</w:t>
      </w:r>
      <w:r>
        <w:rPr>
          <w:rFonts w:ascii="Cambria" w:hAnsi="Cambria"/>
          <w:spacing w:val="-2"/>
          <w:sz w:val="24"/>
          <w:szCs w:val="24"/>
          <w:vertAlign w:val="subscript"/>
        </w:rPr>
        <w:t>b</w:t>
      </w:r>
      <w:r>
        <w:rPr>
          <w:rFonts w:hint="eastAsia" w:ascii="宋体" w:hAnsi="宋体"/>
          <w:sz w:val="24"/>
          <w:szCs w:val="24"/>
        </w:rPr>
        <w:t>+6%且R＞0的情形下，若拟扣除超额管理费后的年化收益率小于等于</w:t>
      </w:r>
      <w:r>
        <w:rPr>
          <w:bCs/>
          <w:sz w:val="24"/>
          <w:szCs w:val="24"/>
        </w:rPr>
        <w:t>R</w:t>
      </w:r>
      <w:r>
        <w:rPr>
          <w:rFonts w:ascii="Cambria" w:hAnsi="Cambria"/>
          <w:spacing w:val="-2"/>
          <w:sz w:val="24"/>
          <w:szCs w:val="24"/>
          <w:vertAlign w:val="subscript"/>
        </w:rPr>
        <w:t>b</w:t>
      </w:r>
      <w:r>
        <w:rPr>
          <w:rFonts w:hint="eastAsia" w:ascii="宋体" w:hAnsi="宋体"/>
          <w:sz w:val="24"/>
          <w:szCs w:val="24"/>
        </w:rPr>
        <w:t>+6%，或小于等于0时，仍按1.20%年费率收取该笔基金份额的管理费，以使得该笔基金份额在扣除超额管理费后的年化收益率仍需满足本基金收取超额管理费的标准。</w:t>
      </w:r>
    </w:p>
    <w:p>
      <w:pPr>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具体而言，本基金的管理费包含固定管理费、或有管理费和超额管理费，按以下方式计算和确认。</w:t>
      </w:r>
    </w:p>
    <w:p>
      <w:pPr>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（1）固定管理费</w:t>
      </w:r>
    </w:p>
    <w:p>
      <w:pPr>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固定管理费按前一日基金资产净值的0.60%年费率每日计提。固定管理费的计算方法如下：</w:t>
      </w:r>
    </w:p>
    <w:p>
      <w:pPr>
        <w:adjustRightInd w:val="0"/>
        <w:snapToGrid w:val="0"/>
        <w:spacing w:line="360" w:lineRule="auto"/>
        <w:ind w:firstLine="897" w:firstLineChars="374"/>
        <w:rPr>
          <w:rFonts w:hint="eastAsia" w:ascii="宋体" w:hAnsi="宋体"/>
          <w:sz w:val="24"/>
          <w:szCs w:val="24"/>
        </w:rPr>
      </w:pPr>
      <w:bookmarkStart w:id="90" w:name="_Hlk196745228"/>
      <w:r>
        <w:rPr>
          <w:bCs/>
          <w:sz w:val="24"/>
          <w:szCs w:val="24"/>
          <w14:ligatures w14:val="standardContextual"/>
        </w:rPr>
        <w:t>H</w:t>
      </w:r>
      <w:r>
        <w:rPr>
          <w:bCs/>
          <w:sz w:val="24"/>
          <w:szCs w:val="24"/>
          <w:vertAlign w:val="subscript"/>
          <w14:ligatures w14:val="standardContextual"/>
        </w:rPr>
        <w:t>1</w:t>
      </w:r>
      <w:bookmarkEnd w:id="90"/>
      <w:r>
        <w:rPr>
          <w:rFonts w:hint="eastAsia" w:ascii="宋体" w:hAnsi="宋体"/>
          <w:sz w:val="24"/>
          <w:szCs w:val="24"/>
        </w:rPr>
        <w:t>＝</w:t>
      </w:r>
      <w:r>
        <w:rPr>
          <w:bCs/>
          <w:sz w:val="24"/>
          <w:szCs w:val="24"/>
          <w14:ligatures w14:val="standardContextual"/>
        </w:rPr>
        <w:t>E</w:t>
      </w:r>
      <w:r>
        <w:rPr>
          <w:rFonts w:hint="eastAsia" w:ascii="宋体" w:hAnsi="宋体"/>
          <w:sz w:val="24"/>
          <w:szCs w:val="24"/>
        </w:rPr>
        <w:t>×0.60%÷当年天数</w:t>
      </w:r>
    </w:p>
    <w:p>
      <w:pPr>
        <w:adjustRightInd w:val="0"/>
        <w:snapToGrid w:val="0"/>
        <w:spacing w:line="360" w:lineRule="auto"/>
        <w:ind w:firstLine="897" w:firstLineChars="374"/>
        <w:rPr>
          <w:rFonts w:hint="eastAsia" w:ascii="宋体" w:hAnsi="宋体"/>
          <w:sz w:val="24"/>
          <w:szCs w:val="24"/>
        </w:rPr>
      </w:pPr>
      <w:r>
        <w:rPr>
          <w:bCs/>
          <w:sz w:val="24"/>
          <w:szCs w:val="24"/>
          <w14:ligatures w14:val="standardContextual"/>
        </w:rPr>
        <w:t>H</w:t>
      </w:r>
      <w:r>
        <w:rPr>
          <w:bCs/>
          <w:sz w:val="24"/>
          <w:szCs w:val="24"/>
          <w:vertAlign w:val="subscript"/>
          <w14:ligatures w14:val="standardContextual"/>
        </w:rPr>
        <w:t>1</w:t>
      </w:r>
      <w:r>
        <w:rPr>
          <w:rFonts w:hint="eastAsia" w:ascii="宋体" w:hAnsi="宋体"/>
          <w:sz w:val="24"/>
          <w:szCs w:val="24"/>
        </w:rPr>
        <w:t>为每日应计提的固定管理费</w:t>
      </w:r>
    </w:p>
    <w:p>
      <w:pPr>
        <w:adjustRightInd w:val="0"/>
        <w:snapToGrid w:val="0"/>
        <w:spacing w:line="360" w:lineRule="auto"/>
        <w:ind w:firstLine="897" w:firstLineChars="374"/>
        <w:rPr>
          <w:rFonts w:hint="eastAsia" w:ascii="宋体" w:hAnsi="宋体"/>
          <w:sz w:val="24"/>
          <w:szCs w:val="24"/>
        </w:rPr>
      </w:pPr>
      <w:r>
        <w:rPr>
          <w:bCs/>
          <w:sz w:val="24"/>
          <w:szCs w:val="24"/>
          <w14:ligatures w14:val="standardContextual"/>
        </w:rPr>
        <w:t>E</w:t>
      </w:r>
      <w:r>
        <w:rPr>
          <w:rFonts w:hint="eastAsia" w:ascii="宋体" w:hAnsi="宋体"/>
          <w:sz w:val="24"/>
          <w:szCs w:val="24"/>
        </w:rPr>
        <w:t>为前一日的基金资产净值</w:t>
      </w:r>
    </w:p>
    <w:p>
      <w:pPr>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固定管理费每日计提，逐日累计至每个月月末，按月支付。由基金托管人根据与基金管理人核对一致的财务数据，自动在次月初3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pPr>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（2）或有管理费和超额管理费</w:t>
      </w:r>
    </w:p>
    <w:p>
      <w:pPr>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或有管理费按前一日基金资产净值的0.60%年费率每日计提。或有管理费的计算方法如下：</w:t>
      </w:r>
    </w:p>
    <w:p>
      <w:pPr>
        <w:adjustRightInd w:val="0"/>
        <w:snapToGrid w:val="0"/>
        <w:spacing w:line="360" w:lineRule="auto"/>
        <w:ind w:firstLine="897" w:firstLineChars="374"/>
        <w:rPr>
          <w:rFonts w:hint="eastAsia" w:ascii="宋体" w:hAnsi="宋体"/>
          <w:sz w:val="24"/>
          <w:szCs w:val="24"/>
        </w:rPr>
      </w:pPr>
      <w:r>
        <w:rPr>
          <w:bCs/>
          <w:sz w:val="24"/>
          <w:szCs w:val="24"/>
          <w14:ligatures w14:val="standardContextual"/>
        </w:rPr>
        <w:t>H</w:t>
      </w:r>
      <w:r>
        <w:rPr>
          <w:bCs/>
          <w:sz w:val="24"/>
          <w:szCs w:val="24"/>
          <w:vertAlign w:val="subscript"/>
          <w14:ligatures w14:val="standardContextual"/>
        </w:rPr>
        <w:t>2</w:t>
      </w:r>
      <w:r>
        <w:rPr>
          <w:rFonts w:hint="eastAsia" w:ascii="宋体" w:hAnsi="宋体"/>
          <w:sz w:val="24"/>
          <w:szCs w:val="24"/>
        </w:rPr>
        <w:t>＝</w:t>
      </w:r>
      <w:r>
        <w:rPr>
          <w:bCs/>
          <w:sz w:val="24"/>
          <w:szCs w:val="24"/>
          <w14:ligatures w14:val="standardContextual"/>
        </w:rPr>
        <w:t>E</w:t>
      </w:r>
      <w:r>
        <w:rPr>
          <w:rFonts w:hint="eastAsia" w:ascii="宋体" w:hAnsi="宋体"/>
          <w:sz w:val="24"/>
          <w:szCs w:val="24"/>
        </w:rPr>
        <w:t>×0.60%÷当年天数</w:t>
      </w:r>
    </w:p>
    <w:p>
      <w:pPr>
        <w:adjustRightInd w:val="0"/>
        <w:snapToGrid w:val="0"/>
        <w:spacing w:line="480" w:lineRule="auto"/>
        <w:ind w:firstLine="897" w:firstLineChars="374"/>
        <w:rPr>
          <w:rFonts w:hint="eastAsia" w:ascii="宋体" w:hAnsi="宋体"/>
          <w:sz w:val="24"/>
          <w:szCs w:val="24"/>
        </w:rPr>
      </w:pPr>
      <w:r>
        <w:rPr>
          <w:bCs/>
          <w:sz w:val="24"/>
          <w:szCs w:val="24"/>
          <w14:ligatures w14:val="standardContextual"/>
        </w:rPr>
        <w:t>H</w:t>
      </w:r>
      <w:r>
        <w:rPr>
          <w:bCs/>
          <w:sz w:val="24"/>
          <w:szCs w:val="24"/>
          <w:vertAlign w:val="subscript"/>
          <w14:ligatures w14:val="standardContextual"/>
        </w:rPr>
        <w:t>2</w:t>
      </w:r>
      <w:r>
        <w:rPr>
          <w:rFonts w:hint="eastAsia" w:ascii="宋体" w:hAnsi="宋体"/>
          <w:sz w:val="24"/>
          <w:szCs w:val="24"/>
        </w:rPr>
        <w:t>为每日应计提的或有管理费</w:t>
      </w:r>
    </w:p>
    <w:p>
      <w:pPr>
        <w:adjustRightInd w:val="0"/>
        <w:snapToGrid w:val="0"/>
        <w:spacing w:line="360" w:lineRule="auto"/>
        <w:ind w:firstLine="897" w:firstLineChars="374"/>
        <w:rPr>
          <w:rFonts w:hint="eastAsia" w:ascii="宋体" w:hAnsi="宋体"/>
          <w:sz w:val="24"/>
          <w:szCs w:val="24"/>
        </w:rPr>
      </w:pPr>
      <w:r>
        <w:rPr>
          <w:bCs/>
          <w:sz w:val="24"/>
          <w:szCs w:val="24"/>
          <w14:ligatures w14:val="standardContextual"/>
        </w:rPr>
        <w:t>E</w:t>
      </w:r>
      <w:r>
        <w:rPr>
          <w:rFonts w:hint="eastAsia" w:ascii="宋体" w:hAnsi="宋体"/>
          <w:sz w:val="24"/>
          <w:szCs w:val="24"/>
        </w:rPr>
        <w:t>为前一日的基金资产净值</w:t>
      </w:r>
    </w:p>
    <w:p>
      <w:pPr>
        <w:adjustRightInd w:val="0"/>
        <w:snapToGrid w:val="0"/>
        <w:spacing w:line="360" w:lineRule="auto"/>
        <w:ind w:firstLine="480" w:firstLineChars="200"/>
        <w:rPr>
          <w:rFonts w:hint="eastAsia" w:ascii="宋体" w:hAnsi="宋体"/>
          <w:sz w:val="24"/>
          <w:szCs w:val="24"/>
        </w:rPr>
      </w:pPr>
      <w:r>
        <w:rPr>
          <w:rFonts w:hint="eastAsia"/>
          <w:bCs/>
          <w:sz w:val="24"/>
          <w:szCs w:val="24"/>
          <w14:ligatures w14:val="standardContextual"/>
        </w:rPr>
        <w:t>投资者赎回、转出基金份额或基金合同终止的情形发生时，</w:t>
      </w:r>
      <w:r>
        <w:rPr>
          <w:rFonts w:hint="eastAsia" w:ascii="宋体" w:hAnsi="宋体"/>
          <w:sz w:val="24"/>
          <w:szCs w:val="24"/>
        </w:rPr>
        <w:t>若该笔基金份额持有天数达到或超过365天，且该笔基金份额的持有收益率R符合下表“情形一”的收取情形，或有管理费为0，则该笔基金份额持有期内计提的或有管理费将全额随赎回款（或清算款）</w:t>
      </w:r>
      <w:r>
        <w:rPr>
          <w:rFonts w:hint="eastAsia" w:ascii="宋体" w:hAnsi="宋体"/>
          <w:sz w:val="24"/>
        </w:rPr>
        <w:t>一</w:t>
      </w:r>
      <w:r>
        <w:rPr>
          <w:rFonts w:hint="eastAsia" w:ascii="宋体" w:hAnsi="宋体"/>
          <w:sz w:val="24"/>
          <w:szCs w:val="24"/>
        </w:rPr>
        <w:t>并返还给投资者；在其他情形下，该笔基金份额持有期内计提的或有管理费应确认为应由管理人收取的管理费。</w:t>
      </w:r>
    </w:p>
    <w:p>
      <w:pPr>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本基金每日预估计算并记录每笔基金份额的超额管理费，基金超额管理费的预估计算方法如下：</w:t>
      </w:r>
    </w:p>
    <w:p>
      <w:pPr>
        <w:adjustRightInd w:val="0"/>
        <w:snapToGrid w:val="0"/>
        <w:spacing w:line="360" w:lineRule="auto"/>
        <w:ind w:firstLine="897" w:firstLineChars="374"/>
        <w:rPr>
          <w:rFonts w:hint="eastAsia" w:ascii="宋体" w:hAnsi="宋体"/>
          <w:sz w:val="24"/>
          <w:szCs w:val="24"/>
        </w:rPr>
      </w:pPr>
      <w:r>
        <w:rPr>
          <w:bCs/>
          <w:sz w:val="24"/>
          <w:szCs w:val="24"/>
          <w14:ligatures w14:val="standardContextual"/>
        </w:rPr>
        <w:t>H</w:t>
      </w:r>
      <w:r>
        <w:rPr>
          <w:bCs/>
          <w:sz w:val="24"/>
          <w:szCs w:val="24"/>
          <w:vertAlign w:val="subscript"/>
          <w14:ligatures w14:val="standardContextual"/>
        </w:rPr>
        <w:t>3</w:t>
      </w:r>
      <w:r>
        <w:rPr>
          <w:rFonts w:hint="eastAsia" w:ascii="宋体" w:hAnsi="宋体"/>
          <w:sz w:val="24"/>
          <w:szCs w:val="24"/>
        </w:rPr>
        <w:t>＝E×0.30%÷当年天数</w:t>
      </w:r>
    </w:p>
    <w:p>
      <w:pPr>
        <w:adjustRightInd w:val="0"/>
        <w:snapToGrid w:val="0"/>
        <w:spacing w:line="360" w:lineRule="auto"/>
        <w:ind w:firstLine="897" w:firstLineChars="374"/>
        <w:rPr>
          <w:rFonts w:hint="eastAsia" w:ascii="宋体" w:hAnsi="宋体"/>
          <w:sz w:val="24"/>
          <w:szCs w:val="24"/>
        </w:rPr>
      </w:pPr>
      <w:r>
        <w:rPr>
          <w:bCs/>
          <w:sz w:val="24"/>
          <w:szCs w:val="24"/>
          <w14:ligatures w14:val="standardContextual"/>
        </w:rPr>
        <w:t>H</w:t>
      </w:r>
      <w:r>
        <w:rPr>
          <w:bCs/>
          <w:sz w:val="24"/>
          <w:szCs w:val="24"/>
          <w:vertAlign w:val="subscript"/>
          <w14:ligatures w14:val="standardContextual"/>
        </w:rPr>
        <w:t>3</w:t>
      </w:r>
      <w:r>
        <w:rPr>
          <w:rFonts w:hint="eastAsia" w:ascii="宋体" w:hAnsi="宋体"/>
          <w:sz w:val="24"/>
          <w:szCs w:val="24"/>
        </w:rPr>
        <w:t>为每日预估计算的基金超额管理费</w:t>
      </w:r>
    </w:p>
    <w:p>
      <w:pPr>
        <w:adjustRightInd w:val="0"/>
        <w:snapToGrid w:val="0"/>
        <w:spacing w:line="360" w:lineRule="auto"/>
        <w:ind w:firstLine="897" w:firstLineChars="374"/>
        <w:rPr>
          <w:rFonts w:hint="eastAsia" w:ascii="宋体" w:hAnsi="宋体"/>
          <w:sz w:val="24"/>
          <w:szCs w:val="24"/>
        </w:rPr>
      </w:pPr>
      <w:r>
        <w:rPr>
          <w:rFonts w:hint="eastAsia" w:ascii="宋体" w:hAnsi="宋体"/>
          <w:sz w:val="24"/>
          <w:szCs w:val="24"/>
        </w:rPr>
        <w:t>E为前一日的基金资产净值</w:t>
      </w:r>
    </w:p>
    <w:p>
      <w:pPr>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每笔基金份额的超额管理费每日预估计算，但不从基金资产中实际计提，逐日累计。</w:t>
      </w:r>
      <w:r>
        <w:rPr>
          <w:rFonts w:hint="eastAsia"/>
          <w:bCs/>
          <w:sz w:val="24"/>
          <w:szCs w:val="24"/>
          <w14:ligatures w14:val="standardContextual"/>
        </w:rPr>
        <w:t>投资者赎回、转出基金份额或基金合同终止的情形发生时，</w:t>
      </w:r>
      <w:r>
        <w:rPr>
          <w:rFonts w:hint="eastAsia" w:ascii="宋体" w:hAnsi="宋体"/>
          <w:sz w:val="24"/>
          <w:szCs w:val="24"/>
        </w:rPr>
        <w:t>当且仅当该笔基金份额持有天数达到或超过365天，且该笔基金份额的年化收益率（R）符合下表“情形三”的收取情形，将从该笔基金份额的赎回款（或清算款）中扣除0.30%年费率的超额管理费，并随已计提的或有管理费一同确认为应由管理人收取的管理费。</w:t>
      </w:r>
    </w:p>
    <w:p>
      <w:pPr>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当投资者赎回、转出基金份额或基金合同终止的情形发生时，本基金根据以下三种情形确认应实际收取的或有管理费和超额管理费：</w:t>
      </w:r>
    </w:p>
    <w:tbl>
      <w:tblPr>
        <w:tblStyle w:val="27"/>
        <w:tblW w:w="84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5"/>
        <w:gridCol w:w="2491"/>
        <w:gridCol w:w="1759"/>
        <w:gridCol w:w="2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5" w:type="dxa"/>
          </w:tcPr>
          <w:p>
            <w:pPr>
              <w:adjustRightInd w:val="0"/>
              <w:snapToGrid w:val="0"/>
              <w:jc w:val="center"/>
              <w:rPr>
                <w:rFonts w:hint="eastAsia" w:ascii="宋体" w:hAnsi="宋体"/>
                <w:b/>
                <w:bCs/>
                <w:sz w:val="24"/>
                <w:szCs w:val="24"/>
              </w:rPr>
            </w:pPr>
            <w:r>
              <w:rPr>
                <w:rFonts w:hint="eastAsia" w:ascii="宋体" w:hAnsi="宋体"/>
                <w:b/>
                <w:bCs/>
                <w:sz w:val="24"/>
                <w:szCs w:val="24"/>
              </w:rPr>
              <w:t>收取情形</w:t>
            </w:r>
          </w:p>
        </w:tc>
        <w:tc>
          <w:tcPr>
            <w:tcW w:w="2491" w:type="dxa"/>
          </w:tcPr>
          <w:p>
            <w:pPr>
              <w:adjustRightInd w:val="0"/>
              <w:snapToGrid w:val="0"/>
              <w:jc w:val="center"/>
              <w:rPr>
                <w:rFonts w:hint="eastAsia" w:ascii="宋体" w:hAnsi="宋体"/>
                <w:b/>
                <w:bCs/>
                <w:sz w:val="24"/>
                <w:szCs w:val="24"/>
              </w:rPr>
            </w:pPr>
            <w:r>
              <w:rPr>
                <w:rFonts w:hint="eastAsia" w:ascii="宋体" w:hAnsi="宋体"/>
                <w:b/>
                <w:bCs/>
                <w:sz w:val="24"/>
                <w:szCs w:val="24"/>
              </w:rPr>
              <w:t>年化收益率（R）</w:t>
            </w:r>
          </w:p>
          <w:p>
            <w:pPr>
              <w:adjustRightInd w:val="0"/>
              <w:snapToGrid w:val="0"/>
              <w:ind w:firstLine="901" w:firstLineChars="374"/>
              <w:jc w:val="center"/>
              <w:rPr>
                <w:rFonts w:hint="eastAsia" w:ascii="宋体" w:hAnsi="宋体"/>
                <w:b/>
                <w:bCs/>
                <w:sz w:val="24"/>
                <w:szCs w:val="24"/>
              </w:rPr>
            </w:pPr>
          </w:p>
        </w:tc>
        <w:tc>
          <w:tcPr>
            <w:tcW w:w="1759" w:type="dxa"/>
          </w:tcPr>
          <w:p>
            <w:pPr>
              <w:adjustRightInd w:val="0"/>
              <w:snapToGrid w:val="0"/>
              <w:jc w:val="center"/>
              <w:rPr>
                <w:rFonts w:hint="eastAsia" w:ascii="宋体" w:hAnsi="宋体"/>
                <w:b/>
                <w:bCs/>
                <w:sz w:val="24"/>
                <w:szCs w:val="24"/>
              </w:rPr>
            </w:pPr>
            <w:r>
              <w:rPr>
                <w:rFonts w:hint="eastAsia" w:ascii="宋体" w:hAnsi="宋体"/>
                <w:b/>
                <w:bCs/>
                <w:sz w:val="24"/>
                <w:szCs w:val="24"/>
              </w:rPr>
              <w:t>或有管理费（年费率）</w:t>
            </w:r>
          </w:p>
        </w:tc>
        <w:tc>
          <w:tcPr>
            <w:tcW w:w="2017" w:type="dxa"/>
          </w:tcPr>
          <w:p>
            <w:pPr>
              <w:adjustRightInd w:val="0"/>
              <w:snapToGrid w:val="0"/>
              <w:jc w:val="center"/>
              <w:rPr>
                <w:rFonts w:hint="eastAsia" w:ascii="宋体" w:hAnsi="宋体"/>
                <w:b/>
                <w:bCs/>
                <w:sz w:val="24"/>
                <w:szCs w:val="24"/>
              </w:rPr>
            </w:pPr>
            <w:r>
              <w:rPr>
                <w:rFonts w:hint="eastAsia" w:ascii="宋体" w:hAnsi="宋体"/>
                <w:b/>
                <w:bCs/>
                <w:sz w:val="24"/>
                <w:szCs w:val="24"/>
              </w:rPr>
              <w:t>超额管理费</w:t>
            </w:r>
          </w:p>
          <w:p>
            <w:pPr>
              <w:adjustRightInd w:val="0"/>
              <w:snapToGrid w:val="0"/>
              <w:jc w:val="center"/>
              <w:rPr>
                <w:rFonts w:hint="eastAsia" w:ascii="宋体" w:hAnsi="宋体"/>
                <w:b/>
                <w:bCs/>
                <w:sz w:val="24"/>
                <w:szCs w:val="24"/>
              </w:rPr>
            </w:pPr>
            <w:r>
              <w:rPr>
                <w:rFonts w:hint="eastAsia" w:ascii="宋体" w:hAnsi="宋体"/>
                <w:b/>
                <w:bCs/>
                <w:sz w:val="24"/>
                <w:szCs w:val="24"/>
              </w:rPr>
              <w:t>（年费率）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5" w:type="dxa"/>
          </w:tcPr>
          <w:p>
            <w:pPr>
              <w:adjustRightInd w:val="0"/>
              <w:snapToGrid w:val="0"/>
              <w:spacing w:line="360" w:lineRule="auto"/>
              <w:jc w:val="center"/>
              <w:rPr>
                <w:rFonts w:hint="eastAsia" w:ascii="宋体" w:hAnsi="宋体"/>
                <w:sz w:val="24"/>
                <w:szCs w:val="24"/>
              </w:rPr>
            </w:pPr>
            <w:r>
              <w:rPr>
                <w:rFonts w:hint="eastAsia" w:ascii="宋体" w:hAnsi="宋体"/>
                <w:sz w:val="24"/>
                <w:szCs w:val="24"/>
              </w:rPr>
              <w:t>情形一</w:t>
            </w:r>
          </w:p>
        </w:tc>
        <w:tc>
          <w:tcPr>
            <w:tcW w:w="2491" w:type="dxa"/>
          </w:tcPr>
          <w:p>
            <w:pPr>
              <w:adjustRightInd w:val="0"/>
              <w:snapToGrid w:val="0"/>
              <w:spacing w:line="360" w:lineRule="auto"/>
              <w:jc w:val="center"/>
              <w:rPr>
                <w:rFonts w:hint="eastAsia" w:ascii="宋体" w:hAnsi="宋体" w:cs="宋体"/>
                <w:sz w:val="24"/>
                <w:szCs w:val="24"/>
              </w:rPr>
            </w:pPr>
            <w:r>
              <w:rPr>
                <w:rFonts w:hint="eastAsia" w:ascii="宋体" w:hAnsi="宋体" w:cs="宋体"/>
                <w:kern w:val="0"/>
                <w:sz w:val="24"/>
                <w:szCs w:val="24"/>
                <w14:ligatures w14:val="standardContextual"/>
              </w:rPr>
              <w:t>R</w:t>
            </w:r>
            <w:r>
              <w:rPr>
                <w:rFonts w:hint="eastAsia" w:ascii="宋体" w:hAnsi="宋体" w:cs="宋体"/>
                <w:sz w:val="24"/>
                <w:szCs w:val="24"/>
              </w:rPr>
              <w:t>≤</w:t>
            </w:r>
            <w:r>
              <w:rPr>
                <w:rFonts w:hint="eastAsia" w:ascii="宋体" w:hAnsi="宋体" w:cs="宋体"/>
                <w:kern w:val="0"/>
                <w:sz w:val="24"/>
                <w:szCs w:val="24"/>
                <w14:ligatures w14:val="standardContextual"/>
              </w:rPr>
              <w:t>R</w:t>
            </w:r>
            <w:r>
              <w:rPr>
                <w:rFonts w:hint="eastAsia" w:ascii="宋体" w:hAnsi="宋体" w:cs="宋体"/>
                <w:kern w:val="0"/>
                <w:sz w:val="24"/>
                <w:szCs w:val="24"/>
                <w:vertAlign w:val="subscript"/>
                <w14:ligatures w14:val="standardContextual"/>
              </w:rPr>
              <w:t>b</w:t>
            </w:r>
            <w:r>
              <w:rPr>
                <w:rFonts w:hint="eastAsia" w:ascii="宋体" w:hAnsi="宋体" w:cs="宋体"/>
                <w:sz w:val="24"/>
                <w:szCs w:val="24"/>
              </w:rPr>
              <w:t>-3%</w:t>
            </w:r>
          </w:p>
        </w:tc>
        <w:tc>
          <w:tcPr>
            <w:tcW w:w="1759" w:type="dxa"/>
          </w:tcPr>
          <w:p>
            <w:pPr>
              <w:adjustRightInd w:val="0"/>
              <w:snapToGrid w:val="0"/>
              <w:spacing w:line="360" w:lineRule="auto"/>
              <w:jc w:val="center"/>
              <w:rPr>
                <w:rFonts w:hint="eastAsia" w:ascii="宋体" w:hAnsi="宋体"/>
                <w:sz w:val="24"/>
                <w:szCs w:val="24"/>
              </w:rPr>
            </w:pPr>
            <w:r>
              <w:rPr>
                <w:rFonts w:hint="eastAsia" w:ascii="宋体" w:hAnsi="宋体"/>
                <w:sz w:val="24"/>
                <w:szCs w:val="24"/>
              </w:rPr>
              <w:t>0</w:t>
            </w:r>
          </w:p>
        </w:tc>
        <w:tc>
          <w:tcPr>
            <w:tcW w:w="2017" w:type="dxa"/>
          </w:tcPr>
          <w:p>
            <w:pPr>
              <w:adjustRightInd w:val="0"/>
              <w:snapToGrid w:val="0"/>
              <w:spacing w:line="360" w:lineRule="auto"/>
              <w:jc w:val="center"/>
              <w:rPr>
                <w:rFonts w:hint="eastAsia" w:ascii="宋体" w:hAnsi="宋体"/>
                <w:sz w:val="24"/>
                <w:szCs w:val="24"/>
              </w:rPr>
            </w:pPr>
            <w:r>
              <w:rPr>
                <w:rFonts w:hint="eastAsia" w:ascii="宋体" w:hAnsi="宋体"/>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5" w:type="dxa"/>
          </w:tcPr>
          <w:p>
            <w:pPr>
              <w:adjustRightInd w:val="0"/>
              <w:snapToGrid w:val="0"/>
              <w:spacing w:line="360" w:lineRule="auto"/>
              <w:jc w:val="center"/>
              <w:rPr>
                <w:rFonts w:hint="eastAsia" w:ascii="宋体" w:hAnsi="宋体"/>
                <w:sz w:val="24"/>
                <w:szCs w:val="24"/>
              </w:rPr>
            </w:pPr>
            <w:r>
              <w:rPr>
                <w:rFonts w:hint="eastAsia" w:ascii="宋体" w:hAnsi="宋体"/>
                <w:sz w:val="24"/>
                <w:szCs w:val="24"/>
              </w:rPr>
              <w:t>情形二</w:t>
            </w:r>
          </w:p>
        </w:tc>
        <w:tc>
          <w:tcPr>
            <w:tcW w:w="2491" w:type="dxa"/>
          </w:tcPr>
          <w:p>
            <w:pPr>
              <w:adjustRightInd w:val="0"/>
              <w:snapToGrid w:val="0"/>
              <w:spacing w:line="360" w:lineRule="auto"/>
              <w:jc w:val="center"/>
              <w:rPr>
                <w:rFonts w:hint="eastAsia" w:ascii="宋体" w:hAnsi="宋体" w:cs="宋体"/>
                <w:sz w:val="24"/>
                <w:szCs w:val="24"/>
              </w:rPr>
            </w:pPr>
            <w:r>
              <w:rPr>
                <w:rFonts w:hint="eastAsia" w:ascii="宋体" w:hAnsi="宋体" w:cs="宋体"/>
                <w:sz w:val="24"/>
                <w:szCs w:val="24"/>
              </w:rPr>
              <w:t>其他情形</w:t>
            </w:r>
          </w:p>
        </w:tc>
        <w:tc>
          <w:tcPr>
            <w:tcW w:w="1759" w:type="dxa"/>
          </w:tcPr>
          <w:p>
            <w:pPr>
              <w:adjustRightInd w:val="0"/>
              <w:snapToGrid w:val="0"/>
              <w:spacing w:line="360" w:lineRule="auto"/>
              <w:jc w:val="center"/>
              <w:rPr>
                <w:rFonts w:hint="eastAsia" w:ascii="宋体" w:hAnsi="宋体"/>
                <w:sz w:val="24"/>
                <w:szCs w:val="24"/>
              </w:rPr>
            </w:pPr>
            <w:r>
              <w:rPr>
                <w:rFonts w:hint="eastAsia" w:ascii="宋体" w:hAnsi="宋体"/>
                <w:sz w:val="24"/>
                <w:szCs w:val="24"/>
              </w:rPr>
              <w:t>0.60%</w:t>
            </w:r>
          </w:p>
        </w:tc>
        <w:tc>
          <w:tcPr>
            <w:tcW w:w="2017" w:type="dxa"/>
          </w:tcPr>
          <w:p>
            <w:pPr>
              <w:adjustRightInd w:val="0"/>
              <w:snapToGrid w:val="0"/>
              <w:spacing w:line="360" w:lineRule="auto"/>
              <w:jc w:val="center"/>
              <w:rPr>
                <w:rFonts w:hint="eastAsia" w:ascii="宋体" w:hAnsi="宋体"/>
                <w:sz w:val="24"/>
                <w:szCs w:val="24"/>
              </w:rPr>
            </w:pPr>
            <w:r>
              <w:rPr>
                <w:rFonts w:hint="eastAsia" w:ascii="宋体" w:hAnsi="宋体"/>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5" w:type="dxa"/>
          </w:tcPr>
          <w:p>
            <w:pPr>
              <w:adjustRightInd w:val="0"/>
              <w:snapToGrid w:val="0"/>
              <w:spacing w:line="360" w:lineRule="auto"/>
              <w:jc w:val="center"/>
              <w:rPr>
                <w:rFonts w:hint="eastAsia" w:ascii="宋体" w:hAnsi="宋体"/>
                <w:sz w:val="24"/>
                <w:szCs w:val="24"/>
              </w:rPr>
            </w:pPr>
            <w:r>
              <w:rPr>
                <w:rFonts w:hint="eastAsia" w:ascii="宋体" w:hAnsi="宋体"/>
                <w:sz w:val="24"/>
                <w:szCs w:val="24"/>
              </w:rPr>
              <w:t>情形三</w:t>
            </w:r>
          </w:p>
        </w:tc>
        <w:tc>
          <w:tcPr>
            <w:tcW w:w="2491" w:type="dxa"/>
          </w:tcPr>
          <w:p>
            <w:pPr>
              <w:adjustRightInd w:val="0"/>
              <w:snapToGrid w:val="0"/>
              <w:spacing w:line="360" w:lineRule="auto"/>
              <w:jc w:val="center"/>
              <w:rPr>
                <w:rFonts w:hint="eastAsia" w:ascii="宋体" w:hAnsi="宋体" w:cs="宋体"/>
                <w:sz w:val="24"/>
                <w:szCs w:val="24"/>
              </w:rPr>
            </w:pPr>
            <w:r>
              <w:rPr>
                <w:rFonts w:hint="eastAsia" w:ascii="宋体" w:hAnsi="宋体" w:cs="宋体"/>
                <w:kern w:val="0"/>
                <w:sz w:val="24"/>
                <w:szCs w:val="24"/>
                <w14:ligatures w14:val="standardContextual"/>
              </w:rPr>
              <w:t>R</w:t>
            </w:r>
            <w:r>
              <w:rPr>
                <w:rFonts w:hint="eastAsia" w:ascii="宋体" w:hAnsi="宋体" w:cs="宋体"/>
                <w:sz w:val="24"/>
                <w:szCs w:val="24"/>
              </w:rPr>
              <w:t>＞</w:t>
            </w:r>
            <w:r>
              <w:rPr>
                <w:rFonts w:hint="eastAsia" w:ascii="宋体" w:hAnsi="宋体" w:cs="宋体"/>
                <w:kern w:val="0"/>
                <w:sz w:val="24"/>
                <w:szCs w:val="24"/>
                <w14:ligatures w14:val="standardContextual"/>
              </w:rPr>
              <w:t>R</w:t>
            </w:r>
            <w:r>
              <w:rPr>
                <w:rFonts w:hint="eastAsia" w:ascii="宋体" w:hAnsi="宋体" w:cs="宋体"/>
                <w:kern w:val="0"/>
                <w:sz w:val="24"/>
                <w:szCs w:val="24"/>
                <w:vertAlign w:val="subscript"/>
                <w14:ligatures w14:val="standardContextual"/>
              </w:rPr>
              <w:t>b</w:t>
            </w:r>
            <w:r>
              <w:rPr>
                <w:rFonts w:hint="eastAsia" w:ascii="宋体" w:hAnsi="宋体" w:cs="宋体"/>
                <w:sz w:val="24"/>
                <w:szCs w:val="24"/>
              </w:rPr>
              <w:t>+6%，</w:t>
            </w:r>
            <w:r>
              <w:rPr>
                <w:rFonts w:hint="eastAsia" w:ascii="宋体" w:hAnsi="宋体" w:cs="宋体"/>
                <w:kern w:val="0"/>
                <w:sz w:val="24"/>
                <w:szCs w:val="24"/>
                <w14:ligatures w14:val="standardContextual"/>
              </w:rPr>
              <w:t>R</w:t>
            </w:r>
            <w:r>
              <w:rPr>
                <w:rFonts w:hint="eastAsia" w:ascii="宋体" w:hAnsi="宋体" w:cs="宋体"/>
                <w:sz w:val="24"/>
                <w:szCs w:val="24"/>
              </w:rPr>
              <w:t>＞0</w:t>
            </w:r>
          </w:p>
        </w:tc>
        <w:tc>
          <w:tcPr>
            <w:tcW w:w="1759" w:type="dxa"/>
          </w:tcPr>
          <w:p>
            <w:pPr>
              <w:adjustRightInd w:val="0"/>
              <w:snapToGrid w:val="0"/>
              <w:spacing w:line="360" w:lineRule="auto"/>
              <w:jc w:val="center"/>
              <w:rPr>
                <w:rFonts w:hint="eastAsia" w:ascii="宋体" w:hAnsi="宋体"/>
                <w:sz w:val="24"/>
                <w:szCs w:val="24"/>
              </w:rPr>
            </w:pPr>
            <w:r>
              <w:rPr>
                <w:rFonts w:hint="eastAsia" w:ascii="宋体" w:hAnsi="宋体"/>
                <w:sz w:val="24"/>
                <w:szCs w:val="24"/>
              </w:rPr>
              <w:t>0.60%</w:t>
            </w:r>
          </w:p>
        </w:tc>
        <w:tc>
          <w:tcPr>
            <w:tcW w:w="2017" w:type="dxa"/>
          </w:tcPr>
          <w:p>
            <w:pPr>
              <w:adjustRightInd w:val="0"/>
              <w:snapToGrid w:val="0"/>
              <w:spacing w:line="360" w:lineRule="auto"/>
              <w:jc w:val="center"/>
              <w:rPr>
                <w:rFonts w:hint="eastAsia" w:ascii="宋体" w:hAnsi="宋体"/>
                <w:sz w:val="24"/>
                <w:szCs w:val="24"/>
              </w:rPr>
            </w:pPr>
            <w:r>
              <w:rPr>
                <w:rFonts w:hint="eastAsia" w:ascii="宋体" w:hAnsi="宋体"/>
                <w:sz w:val="24"/>
                <w:szCs w:val="24"/>
              </w:rPr>
              <w:t>0.30%</w:t>
            </w:r>
          </w:p>
        </w:tc>
      </w:tr>
    </w:tbl>
    <w:p>
      <w:pPr>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对于“情形三”，若拟扣除超额管理费后的年化收益率小于等于Rb+6%，或小于等于0时，仍按1.20%年费率收取该笔基金份额的管理费，以使得该笔基金份额在扣除超额管理费后的年化收益率仍需满足本基金收取超额管理费的标准。</w:t>
      </w:r>
    </w:p>
    <w:p>
      <w:pPr>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每笔基金份额的年化收益率（R）计算方法如下：</w:t>
      </w:r>
    </w:p>
    <w:p>
      <w:pPr>
        <w:adjustRightInd w:val="0"/>
        <w:snapToGrid w:val="0"/>
        <w:spacing w:line="360" w:lineRule="auto"/>
        <w:ind w:firstLine="2640" w:firstLineChars="1100"/>
        <w:rPr>
          <w:rFonts w:hint="eastAsia" w:ascii="宋体" w:hAnsi="宋体"/>
          <w:sz w:val="24"/>
          <w:szCs w:val="24"/>
        </w:rPr>
      </w:pPr>
      <w:r>
        <w:rPr>
          <w:rFonts w:hint="eastAsia" w:ascii="宋体" w:hAnsi="宋体"/>
          <w:sz w:val="24"/>
          <w:szCs w:val="24"/>
        </w:rPr>
        <w:t>R=</w:t>
      </w:r>
      <w:r>
        <w:rPr>
          <w:rFonts w:hint="eastAsia" w:ascii="宋体" w:hAnsi="宋体"/>
          <w:position w:val="-24"/>
          <w:sz w:val="24"/>
        </w:rPr>
        <w:object>
          <v:shape id="_x0000_i1025" o:spt="75" type="#_x0000_t75" style="height:31.15pt;width:100.15pt;" o:ole="t" filled="f" o:preferrelative="t" stroked="f" coordsize="21600,21600">
            <v:path/>
            <v:fill on="f" focussize="0,0"/>
            <v:stroke on="f" joinstyle="miter"/>
            <v:imagedata r:id="rId30" o:title=""/>
            <o:lock v:ext="edit" aspectratio="t"/>
            <w10:wrap type="none"/>
            <w10:anchorlock/>
          </v:shape>
          <o:OLEObject Type="Embed" ProgID="Equation.KSEE3" ShapeID="_x0000_i1025" DrawAspect="Content" ObjectID="_1468075725" r:id="rId29">
            <o:LockedField>false</o:LockedField>
          </o:OLEObject>
        </w:object>
      </w:r>
    </w:p>
    <w:p>
      <w:pPr>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拟扣除超额管理费后的年化收益率（R</w:t>
      </w:r>
      <w:r>
        <w:rPr>
          <w:rFonts w:hint="eastAsia" w:ascii="宋体" w:hAnsi="宋体"/>
          <w:sz w:val="24"/>
          <w:szCs w:val="24"/>
          <w:vertAlign w:val="superscript"/>
        </w:rPr>
        <w:t>*</w:t>
      </w:r>
      <w:r>
        <w:rPr>
          <w:rFonts w:hint="eastAsia" w:ascii="宋体" w:hAnsi="宋体"/>
          <w:sz w:val="24"/>
          <w:szCs w:val="24"/>
        </w:rPr>
        <w:t>）的计算方法如下：</w:t>
      </w:r>
    </w:p>
    <w:p>
      <w:pPr>
        <w:adjustRightInd w:val="0"/>
        <w:snapToGrid w:val="0"/>
        <w:spacing w:line="360" w:lineRule="auto"/>
        <w:ind w:firstLine="2400" w:firstLineChars="1000"/>
        <w:rPr>
          <w:rFonts w:hint="eastAsia" w:ascii="宋体" w:hAnsi="宋体"/>
          <w:sz w:val="24"/>
          <w:szCs w:val="24"/>
        </w:rPr>
      </w:pPr>
      <w:r>
        <w:rPr>
          <w:rFonts w:hint="eastAsia" w:ascii="宋体" w:hAnsi="宋体"/>
          <w:sz w:val="24"/>
          <w:szCs w:val="24"/>
        </w:rPr>
        <w:t>R</w:t>
      </w:r>
      <w:r>
        <w:rPr>
          <w:rFonts w:hint="eastAsia" w:ascii="宋体" w:hAnsi="宋体"/>
          <w:sz w:val="24"/>
          <w:szCs w:val="24"/>
          <w:vertAlign w:val="superscript"/>
        </w:rPr>
        <w:t>*</w:t>
      </w:r>
      <w:r>
        <w:rPr>
          <w:rFonts w:hint="eastAsia" w:ascii="宋体" w:hAnsi="宋体"/>
          <w:sz w:val="24"/>
          <w:szCs w:val="24"/>
        </w:rPr>
        <w:t>=</w:t>
      </w:r>
      <w:r>
        <w:rPr>
          <w:rFonts w:hint="eastAsia" w:ascii="宋体" w:hAnsi="宋体"/>
          <w:position w:val="-24"/>
          <w:sz w:val="24"/>
        </w:rPr>
        <w:object>
          <v:shape id="_x0000_i1026" o:spt="75" type="#_x0000_t75" style="height:31.15pt;width:154.15pt;" o:ole="t" filled="f" o:preferrelative="t" stroked="f" coordsize="21600,21600">
            <v:path/>
            <v:fill on="f" focussize="0,0"/>
            <v:stroke on="f" joinstyle="miter"/>
            <v:imagedata r:id="rId32" o:title=""/>
            <o:lock v:ext="edit" aspectratio="t"/>
            <w10:wrap type="none"/>
            <w10:anchorlock/>
          </v:shape>
          <o:OLEObject Type="Embed" ProgID="Equation.KSEE3" ShapeID="_x0000_i1026" DrawAspect="Content" ObjectID="_1468075726" r:id="rId31">
            <o:LockedField>false</o:LockedField>
          </o:OLEObject>
        </w:object>
      </w:r>
    </w:p>
    <w:p>
      <w:pPr>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R为该笔基金份额的年化收益率；</w:t>
      </w:r>
      <w:r>
        <w:rPr>
          <w:bCs/>
          <w:sz w:val="24"/>
        </w:rPr>
        <w:t>R</w:t>
      </w:r>
      <w:r>
        <w:rPr>
          <w:rFonts w:ascii="Cambria" w:hAnsi="Cambria"/>
          <w:spacing w:val="-2"/>
          <w:sz w:val="24"/>
          <w:vertAlign w:val="subscript"/>
        </w:rPr>
        <w:t>b</w:t>
      </w:r>
      <w:r>
        <w:rPr>
          <w:rFonts w:hint="eastAsia" w:ascii="宋体" w:hAnsi="宋体"/>
          <w:sz w:val="24"/>
          <w:szCs w:val="24"/>
        </w:rPr>
        <w:t>为本基金业绩比较基准同期年化收益率；</w:t>
      </w:r>
    </w:p>
    <w:p>
      <w:pPr>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A为该笔基金份额赎回日</w:t>
      </w:r>
      <w:r>
        <w:rPr>
          <w:rFonts w:hint="default" w:ascii="宋体" w:hAnsi="宋体"/>
          <w:sz w:val="24"/>
          <w:szCs w:val="24"/>
          <w:lang w:val="en-US"/>
        </w:rPr>
        <w:t>、</w:t>
      </w:r>
      <w:r>
        <w:rPr>
          <w:rFonts w:hint="eastAsia" w:ascii="宋体" w:hAnsi="宋体"/>
          <w:sz w:val="24"/>
          <w:szCs w:val="24"/>
        </w:rPr>
        <w:t>转出日或基金</w:t>
      </w:r>
      <w:r>
        <w:rPr>
          <w:rFonts w:hint="default" w:ascii="宋体" w:hAnsi="宋体"/>
          <w:sz w:val="24"/>
          <w:szCs w:val="24"/>
          <w:lang w:val="en-US"/>
        </w:rPr>
        <w:t>合同终止情形发生日的</w:t>
      </w:r>
      <w:r>
        <w:rPr>
          <w:rFonts w:hint="eastAsia" w:ascii="宋体" w:hAnsi="宋体"/>
          <w:sz w:val="24"/>
          <w:szCs w:val="24"/>
        </w:rPr>
        <w:t>基金份额累计净值；</w:t>
      </w:r>
    </w:p>
    <w:p>
      <w:pPr>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B为该笔基金份额认购/申购/转入日的基金份额累计净值，其中份额认购日的基金份额（累计）净值为1.00元；</w:t>
      </w:r>
    </w:p>
    <w:p>
      <w:pPr>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C为该笔基金份额认购/申购/转入日的基金份额净值，其中份额认购日的基金份额净值为1.00元；</w:t>
      </w:r>
    </w:p>
    <w:p>
      <w:pPr>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D为基金合同生效日（针对募集期内认购的基金份额）或该笔基金份额申购确认日与赎回确认日、转换转出确认日或基金合同终止情形发生日下一工作日的间隔天数；</w:t>
      </w:r>
    </w:p>
    <w:p>
      <w:pPr>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F为该笔基金份额的份额数；</w:t>
      </w:r>
    </w:p>
    <w:p>
      <w:pPr>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Mc为该笔基金份额持有期内累计计算的超额管理费。</w:t>
      </w:r>
    </w:p>
    <w:p>
      <w:pPr>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对于已经确认为管理人收入的或有管理费和超额管理费，由基金托管人根据与基金管理人核对一致的财务数据，自动在次月初3个工作日内、按照指定的账户路径进行资金支付，基金管理人无需再出具资金划拨指令。若遇法定节假日、休息日或不可抗力致使无法按时支付的，支付日期顺延。费用自动扣划后，基金管理人应进行核对，如发现数据不符，及时联系基金托管人协商解决。</w:t>
      </w:r>
    </w:p>
    <w:p>
      <w:pPr>
        <w:adjustRightInd w:val="0"/>
        <w:snapToGrid w:val="0"/>
        <w:spacing w:line="360" w:lineRule="auto"/>
        <w:ind w:firstLine="480" w:firstLineChars="200"/>
        <w:rPr>
          <w:rFonts w:hint="eastAsia" w:ascii="宋体" w:hAnsi="宋体"/>
          <w:sz w:val="24"/>
        </w:rPr>
      </w:pPr>
      <w:r>
        <w:rPr>
          <w:rFonts w:hint="eastAsia" w:ascii="宋体" w:hAnsi="宋体"/>
          <w:sz w:val="24"/>
        </w:rPr>
        <w:t>在不违反法律法规、基金合同的约定的情况下，基金管理人可根据基金实际运作情况和市场环境变化，经履行适当程序后，对本基金的管理费（含固定管理费、或有管理费和超额管理费）计提标准或收取方式进行调整。</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（二）基金托管费的计提比例和计提方法</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本基金的托管费按前一日基金资产净值的0.20%年费率计提。托管费的计算方法如下：</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H＝E×0.20%÷当年天数</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H为每日应计提的基金托管费</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E为前一日的基金资产净值</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（三）C类基金份额的销售服务费</w:t>
      </w:r>
    </w:p>
    <w:p>
      <w:pPr>
        <w:adjustRightInd w:val="0"/>
        <w:snapToGrid w:val="0"/>
        <w:spacing w:line="360" w:lineRule="auto"/>
        <w:ind w:firstLine="480" w:firstLineChars="200"/>
        <w:rPr>
          <w:rFonts w:hint="eastAsia" w:ascii="宋体" w:hAnsi="宋体" w:cs="Arial"/>
          <w:sz w:val="24"/>
        </w:rPr>
      </w:pPr>
      <w:r>
        <w:rPr>
          <w:rFonts w:hint="eastAsia" w:ascii="宋体" w:hAnsi="宋体" w:cs="宋体"/>
          <w:sz w:val="24"/>
        </w:rPr>
        <w:t>本基金A类基金份额不收取销售服务</w:t>
      </w:r>
      <w:r>
        <w:rPr>
          <w:rFonts w:hint="eastAsia" w:ascii="宋体" w:hAnsi="宋体" w:cs="Arial"/>
          <w:sz w:val="24"/>
        </w:rPr>
        <w:t>费，C类基金份额的销售服务费按前一日C类基金份额基金资产净值的</w:t>
      </w:r>
      <w:r>
        <w:rPr>
          <w:rFonts w:ascii="宋体" w:hAnsi="宋体" w:cs="Arial"/>
          <w:sz w:val="24"/>
        </w:rPr>
        <w:t>0.</w:t>
      </w:r>
      <w:r>
        <w:rPr>
          <w:rFonts w:hint="eastAsia" w:ascii="宋体" w:hAnsi="宋体" w:cs="Arial"/>
          <w:sz w:val="24"/>
        </w:rPr>
        <w:t>6</w:t>
      </w:r>
      <w:r>
        <w:rPr>
          <w:rFonts w:ascii="宋体" w:hAnsi="宋体" w:cs="Arial"/>
          <w:sz w:val="24"/>
        </w:rPr>
        <w:t>0%</w:t>
      </w:r>
      <w:r>
        <w:rPr>
          <w:rFonts w:hint="eastAsia" w:ascii="宋体" w:hAnsi="宋体" w:cs="Arial"/>
          <w:sz w:val="24"/>
        </w:rPr>
        <w:t>年费率计提。计算方法如下：</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H＝E×</w:t>
      </w:r>
      <w:r>
        <w:rPr>
          <w:rFonts w:ascii="宋体" w:hAnsi="宋体" w:cs="Arial"/>
          <w:sz w:val="24"/>
        </w:rPr>
        <w:t>0.</w:t>
      </w:r>
      <w:r>
        <w:rPr>
          <w:rFonts w:hint="eastAsia" w:ascii="宋体" w:hAnsi="宋体" w:cs="Arial"/>
          <w:sz w:val="24"/>
        </w:rPr>
        <w:t>6</w:t>
      </w:r>
      <w:r>
        <w:rPr>
          <w:rFonts w:ascii="宋体" w:hAnsi="宋体" w:cs="Arial"/>
          <w:sz w:val="24"/>
        </w:rPr>
        <w:t>0%</w:t>
      </w:r>
      <w:r>
        <w:rPr>
          <w:rFonts w:hint="eastAsia" w:ascii="宋体" w:hAnsi="宋体" w:cs="Arial"/>
          <w:sz w:val="24"/>
        </w:rPr>
        <w:t>÷当年天数</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H为C类基金份额每日应计提的销售服务费</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E为C类基金份额前一日基金资产净值</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（四）账户开户费用</w:t>
      </w:r>
      <w:r>
        <w:rPr>
          <w:rFonts w:hint="eastAsia"/>
          <w:bCs/>
          <w:sz w:val="24"/>
        </w:rPr>
        <w:t>、账户维护费用</w:t>
      </w:r>
      <w:r>
        <w:rPr>
          <w:rFonts w:hint="eastAsia" w:ascii="宋体" w:hAnsi="宋体" w:cs="Arial"/>
          <w:sz w:val="24"/>
        </w:rPr>
        <w:t>、证券/期货、股票期权交易费用、基金的银行汇划费用、《基金合同》生效后与基金相关的信息披露费用（但法律法规、中国证监会另有规定的除外）、基金份额持有人大会费用、《基金合同》生效后与基金有关的会计师费、律师费、公证费、诉讼费和仲裁费、因投资港股通标的股票而产生的各项合理费用等根据有关法律法规、《基金合同》及相应协议的规定，列入当期基金费用。</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（五）不列入基金费用的项目</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基金合同》生效前的律师费、会计师费和信息披露费用不得从基金财产中列支；基金管理人和基金托管人因未履行或未完全履行义务导致的费用支出或基金财产的损失，处理与基金运作无关的事项发生的费用以及其他根据相关法律法规及中国证监会的有关规定不得列入基金费用的项目等不列入基金费用。</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（六）基金管理费、基金托管费、C类基金份额的销售服务费的复核程序、支付方式和时间</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1.复核程序</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基金托管人对基金管理人计提的基金管理费、基金托管费、C类基金份额的销售服务费等，根据本托管协议和《基金合同》的有关规定进行复核。</w:t>
      </w:r>
    </w:p>
    <w:p>
      <w:pPr>
        <w:adjustRightInd w:val="0"/>
        <w:snapToGrid w:val="0"/>
        <w:spacing w:line="360" w:lineRule="auto"/>
        <w:ind w:firstLine="480" w:firstLineChars="200"/>
        <w:rPr>
          <w:rFonts w:hint="eastAsia" w:ascii="宋体" w:hAnsi="宋体" w:cs="宋体"/>
          <w:sz w:val="24"/>
        </w:rPr>
      </w:pPr>
      <w:r>
        <w:rPr>
          <w:rFonts w:hint="eastAsia" w:ascii="宋体" w:hAnsi="宋体" w:cs="Arial"/>
          <w:sz w:val="24"/>
        </w:rPr>
        <w:t>2.支付方式和时间</w:t>
      </w:r>
    </w:p>
    <w:p>
      <w:pPr>
        <w:adjustRightInd w:val="0"/>
        <w:snapToGrid w:val="0"/>
        <w:spacing w:line="360" w:lineRule="auto"/>
        <w:ind w:firstLine="480" w:firstLineChars="200"/>
        <w:rPr>
          <w:rFonts w:hint="eastAsia" w:ascii="宋体" w:hAnsi="宋体" w:cs="宋体"/>
          <w:bCs/>
          <w:sz w:val="24"/>
          <w:szCs w:val="20"/>
        </w:rPr>
      </w:pPr>
      <w:r>
        <w:rPr>
          <w:rFonts w:hint="eastAsia" w:ascii="宋体" w:hAnsi="宋体"/>
          <w:sz w:val="24"/>
        </w:rPr>
        <w:t>固定管理费每日计提，逐日累计至每个月月末，按月支付。由基金托管人根据与基金管理人核对一致的财务数据，自动在次月初3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pPr>
        <w:adjustRightInd w:val="0"/>
        <w:snapToGrid w:val="0"/>
        <w:spacing w:line="360" w:lineRule="auto"/>
        <w:ind w:firstLine="480" w:firstLineChars="200"/>
        <w:rPr>
          <w:rFonts w:hint="eastAsia" w:ascii="宋体" w:hAnsi="宋体" w:cs="宋体"/>
          <w:bCs/>
          <w:sz w:val="24"/>
          <w:szCs w:val="20"/>
        </w:rPr>
      </w:pPr>
      <w:r>
        <w:rPr>
          <w:rFonts w:hint="eastAsia" w:ascii="宋体" w:hAnsi="宋体" w:cs="宋体"/>
          <w:bCs/>
          <w:sz w:val="24"/>
          <w:szCs w:val="20"/>
        </w:rPr>
        <w:t>对于已经确认为管理人收入的或有管理费和超额管理费，由基金托管人根据与基金管理人核对一致的财务数据，根据双方协商一致的方式进行支付，基金管理人无需再出具资金划拨指令。若遇法定节假日、休息日或不可抗力致使无法按时支付的，支付日期顺延。费用自动扣划后，基金管理人应进行核对，如发现数据不符，及时联系基金托管人协商解决。</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基金托管费、基金销售服务费每日计提，逐日累计至每月月末，按月支付。由基金托管人根据与基金管理人核对一致的财务数据</w:t>
      </w:r>
      <w:r>
        <w:rPr>
          <w:rFonts w:hint="eastAsia"/>
          <w:bCs/>
          <w:sz w:val="24"/>
          <w:szCs w:val="20"/>
        </w:rPr>
        <w:t>，</w:t>
      </w:r>
      <w:r>
        <w:rPr>
          <w:rFonts w:hint="eastAsia"/>
          <w:bCs/>
          <w:sz w:val="24"/>
        </w:rPr>
        <w:t>自动在</w:t>
      </w:r>
      <w:r>
        <w:rPr>
          <w:bCs/>
          <w:sz w:val="24"/>
          <w:szCs w:val="20"/>
        </w:rPr>
        <w:t>次月</w:t>
      </w:r>
      <w:r>
        <w:rPr>
          <w:rFonts w:hint="eastAsia"/>
          <w:bCs/>
          <w:sz w:val="24"/>
          <w:szCs w:val="20"/>
        </w:rPr>
        <w:t>月初3</w:t>
      </w:r>
      <w:r>
        <w:rPr>
          <w:bCs/>
          <w:sz w:val="24"/>
          <w:szCs w:val="20"/>
        </w:rPr>
        <w:t>个</w:t>
      </w:r>
      <w:r>
        <w:rPr>
          <w:sz w:val="24"/>
        </w:rPr>
        <w:t>工作日内</w:t>
      </w:r>
      <w:r>
        <w:rPr>
          <w:rFonts w:hint="eastAsia"/>
          <w:bCs/>
          <w:sz w:val="24"/>
        </w:rPr>
        <w:t>、按照指定的账户路径进行资金</w:t>
      </w:r>
      <w:r>
        <w:rPr>
          <w:sz w:val="24"/>
        </w:rPr>
        <w:t>支付</w:t>
      </w:r>
      <w:r>
        <w:rPr>
          <w:rFonts w:hint="eastAsia"/>
          <w:bCs/>
          <w:sz w:val="24"/>
        </w:rPr>
        <w:t>，</w:t>
      </w:r>
      <w:r>
        <w:rPr>
          <w:rFonts w:hint="eastAsia"/>
          <w:sz w:val="24"/>
        </w:rPr>
        <w:t>管理人</w:t>
      </w:r>
      <w:r>
        <w:rPr>
          <w:rFonts w:hint="eastAsia"/>
          <w:bCs/>
          <w:sz w:val="24"/>
        </w:rPr>
        <w:t>无需再出具资金划拨指令</w:t>
      </w:r>
      <w:r>
        <w:rPr>
          <w:rFonts w:hint="eastAsia"/>
          <w:sz w:val="24"/>
        </w:rPr>
        <w:t>。</w:t>
      </w:r>
      <w:r>
        <w:rPr>
          <w:rFonts w:hint="eastAsia" w:ascii="宋体" w:hAnsi="宋体" w:cs="Arial"/>
          <w:sz w:val="24"/>
        </w:rPr>
        <w:t>若遇法定节假日、</w:t>
      </w:r>
      <w:bookmarkStart w:id="91" w:name="_Hlk195708092"/>
      <w:r>
        <w:rPr>
          <w:rFonts w:hint="eastAsia" w:ascii="宋体" w:hAnsi="宋体" w:cs="Arial"/>
          <w:sz w:val="24"/>
        </w:rPr>
        <w:t>公休假或不可抗力</w:t>
      </w:r>
      <w:bookmarkEnd w:id="91"/>
      <w:r>
        <w:rPr>
          <w:rFonts w:hint="eastAsia" w:ascii="宋体" w:hAnsi="宋体" w:cs="Arial"/>
          <w:sz w:val="24"/>
        </w:rPr>
        <w:t>等，支付日期顺延。费用自动扣划后，基金管理人应进行核对，如发现数据不符，及时联系基金托管人协商解决。</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在首期支付基金管理费、基金销售服务费前，基金管理人应向基金托管人出具正式函件指定基金管理费、基金销售服务费的收款账户。基金管理人如需要变更此账户，应提前</w:t>
      </w:r>
      <w:r>
        <w:rPr>
          <w:rFonts w:ascii="宋体" w:hAnsi="宋体" w:cs="Arial"/>
          <w:sz w:val="24"/>
        </w:rPr>
        <w:t>5个工作日</w:t>
      </w:r>
      <w:r>
        <w:rPr>
          <w:rFonts w:hint="eastAsia" w:ascii="宋体" w:hAnsi="宋体" w:cs="Arial"/>
          <w:sz w:val="24"/>
        </w:rPr>
        <w:t>向基金托管人出具书面的收款账户变更通知。</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（七）违规处理方式</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（八）实施侧袋机制期间的基金费用</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本基金实施侧袋机制的，与侧袋账户有关的费用可以从侧袋账户中列支，但应待侧袋账户资产变现后方可列支，有关费用可酌情收取或减免，但不得收取管理费（包含固定管理费、或有管理费和超额管理费），详见招募说明书的规定。</w:t>
      </w:r>
    </w:p>
    <w:p>
      <w:pPr>
        <w:adjustRightInd w:val="0"/>
        <w:snapToGrid w:val="0"/>
        <w:spacing w:line="360" w:lineRule="auto"/>
        <w:rPr>
          <w:rFonts w:hint="eastAsia" w:ascii="宋体" w:hAnsi="宋体" w:cs="Arial"/>
          <w:sz w:val="24"/>
        </w:rPr>
        <w:sectPr>
          <w:footerReference r:id="rId17" w:type="default"/>
          <w:pgSz w:w="11906" w:h="16838"/>
          <w:pgMar w:top="1418" w:right="1701" w:bottom="1418" w:left="1701" w:header="851" w:footer="992" w:gutter="0"/>
          <w:pgNumType w:start="1"/>
          <w:cols w:space="425" w:num="1"/>
          <w:docGrid w:type="lines" w:linePitch="312" w:charSpace="0"/>
        </w:sectPr>
      </w:pPr>
    </w:p>
    <w:p>
      <w:pPr>
        <w:pStyle w:val="3"/>
        <w:spacing w:line="360" w:lineRule="auto"/>
        <w:jc w:val="center"/>
        <w:rPr>
          <w:rFonts w:hint="eastAsia" w:ascii="宋体" w:hAnsi="宋体" w:eastAsia="宋体"/>
          <w:sz w:val="30"/>
        </w:rPr>
      </w:pPr>
      <w:bookmarkStart w:id="92" w:name="_Toc124325896"/>
      <w:r>
        <w:rPr>
          <w:rFonts w:hint="eastAsia" w:ascii="宋体" w:hAnsi="宋体" w:eastAsia="宋体"/>
          <w:sz w:val="30"/>
        </w:rPr>
        <w:t>十二、基金份额持有人名册的保管</w:t>
      </w:r>
      <w:bookmarkEnd w:id="92"/>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20年，法律法规或监管部门另有规定的除外。如不能妥善保管，则按相关法律法规承担责任。</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在基金托管人要求或编制中期报告和年度报告前，基金管理人应将有关资料送交基金托管人，不得无故拒绝或延误提供，并保证其真实性、准确性和完整性。</w:t>
      </w:r>
      <w:r>
        <w:rPr>
          <w:rFonts w:hint="eastAsia" w:ascii="宋体" w:hAnsi="宋体"/>
          <w:kern w:val="0"/>
          <w:sz w:val="24"/>
        </w:rPr>
        <w:t>基金托管人不得将所保管的基金份额持有人名册用于基金托管业务以外的其他用途，并应遵守保密义务。</w:t>
      </w:r>
    </w:p>
    <w:p>
      <w:pPr>
        <w:adjustRightInd w:val="0"/>
        <w:snapToGrid w:val="0"/>
        <w:spacing w:line="360" w:lineRule="auto"/>
        <w:rPr>
          <w:rFonts w:hint="eastAsia" w:ascii="宋体" w:hAnsi="宋体" w:cs="Arial"/>
          <w:sz w:val="24"/>
        </w:rPr>
        <w:sectPr>
          <w:footerReference r:id="rId18" w:type="default"/>
          <w:pgSz w:w="11906" w:h="16838"/>
          <w:pgMar w:top="1418" w:right="1701" w:bottom="1418" w:left="1701" w:header="851" w:footer="992" w:gutter="0"/>
          <w:pgNumType w:start="1"/>
          <w:cols w:space="425" w:num="1"/>
          <w:docGrid w:type="lines" w:linePitch="312" w:charSpace="0"/>
        </w:sectPr>
      </w:pPr>
    </w:p>
    <w:p>
      <w:pPr>
        <w:pStyle w:val="3"/>
        <w:spacing w:line="360" w:lineRule="auto"/>
        <w:jc w:val="center"/>
        <w:rPr>
          <w:rFonts w:hint="eastAsia" w:ascii="宋体" w:hAnsi="宋体" w:eastAsia="宋体"/>
          <w:sz w:val="30"/>
        </w:rPr>
      </w:pPr>
      <w:bookmarkStart w:id="93" w:name="_Toc124325897"/>
      <w:r>
        <w:rPr>
          <w:rFonts w:hint="eastAsia" w:ascii="宋体" w:hAnsi="宋体" w:eastAsia="宋体"/>
          <w:sz w:val="30"/>
        </w:rPr>
        <w:t>十三、基金有关文件档案的保存</w:t>
      </w:r>
      <w:bookmarkEnd w:id="93"/>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（一）档案保存</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Pr>
          <w:rFonts w:ascii="宋体" w:hAnsi="宋体" w:cs="Arial"/>
          <w:sz w:val="24"/>
        </w:rPr>
        <w:t>20</w:t>
      </w:r>
      <w:r>
        <w:rPr>
          <w:rFonts w:hint="eastAsia" w:ascii="宋体" w:hAnsi="宋体" w:cs="Arial"/>
          <w:sz w:val="24"/>
        </w:rPr>
        <w:t>年，法律法规或监管部门另有规定的除外。</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（二）合同档案的建立</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1.基金管理人签署重大合同文本后，应及时将合同文本正本送达基金托管人处。</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2.基金管理人应及时将与本基金账务处理、资金划拨等有关的合同、协议传真基金托管人。</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（三）变更与协助</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若基金管理人/基金托管人发生变更，未变更的一方有义务协助变更后的接任人接收相应文件。</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（四）基金管理人和基金托管人应按各自职责完整保存原始凭证、记账凭证、基金账册、交易记录和重要合同等，承担保密义务并保存至少2</w:t>
      </w:r>
      <w:r>
        <w:rPr>
          <w:rFonts w:ascii="宋体" w:hAnsi="宋体" w:cs="Arial"/>
          <w:sz w:val="24"/>
        </w:rPr>
        <w:t>0</w:t>
      </w:r>
      <w:r>
        <w:rPr>
          <w:rFonts w:hint="eastAsia" w:ascii="宋体" w:hAnsi="宋体" w:cs="Arial"/>
          <w:sz w:val="24"/>
        </w:rPr>
        <w:t>年，法律法规或监管部门另有规定的除外。</w:t>
      </w:r>
    </w:p>
    <w:p>
      <w:pPr>
        <w:adjustRightInd w:val="0"/>
        <w:snapToGrid w:val="0"/>
        <w:spacing w:line="360" w:lineRule="auto"/>
        <w:rPr>
          <w:rFonts w:hint="eastAsia" w:ascii="宋体" w:hAnsi="宋体"/>
          <w:sz w:val="30"/>
          <w:szCs w:val="30"/>
        </w:rPr>
        <w:sectPr>
          <w:footerReference r:id="rId19" w:type="default"/>
          <w:pgSz w:w="11906" w:h="16838"/>
          <w:pgMar w:top="1418" w:right="1701" w:bottom="1418" w:left="1701" w:header="851" w:footer="992" w:gutter="0"/>
          <w:pgNumType w:start="1"/>
          <w:cols w:space="425" w:num="1"/>
          <w:docGrid w:type="lines" w:linePitch="312" w:charSpace="0"/>
        </w:sectPr>
      </w:pPr>
    </w:p>
    <w:p>
      <w:pPr>
        <w:pStyle w:val="3"/>
        <w:spacing w:line="360" w:lineRule="auto"/>
        <w:jc w:val="center"/>
        <w:rPr>
          <w:rFonts w:hint="eastAsia" w:ascii="宋体" w:hAnsi="宋体" w:eastAsia="宋体"/>
          <w:sz w:val="30"/>
        </w:rPr>
      </w:pPr>
      <w:bookmarkStart w:id="94" w:name="_Toc124325898"/>
      <w:r>
        <w:rPr>
          <w:rFonts w:hint="eastAsia" w:ascii="宋体" w:hAnsi="宋体" w:eastAsia="宋体"/>
          <w:sz w:val="30"/>
        </w:rPr>
        <w:t>十四、基金管理人和基金托管人的更换</w:t>
      </w:r>
      <w:bookmarkEnd w:id="94"/>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（一）基金管理人职责终止的情形</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1.基金管理人职责终止的情形</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有下列情形之一的，基金管理人职责终止：</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(1)被依法取消基金管理资格；</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(2)依法解散、被依法撤销或被依法宣告破产；</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(3)被基金份额持有人大会解任；</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(4)法律法规及中国证监会规定的和《基金合同》约定的其他情形。</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2.基金管理人的更换程序</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更换基金管理人必须依照如下程序进行：</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(1)提名：新任基金管理人由基金托管人</w:t>
      </w:r>
      <w:r>
        <w:rPr>
          <w:rFonts w:hint="eastAsia" w:ascii="宋体" w:hAnsi="宋体"/>
          <w:sz w:val="24"/>
        </w:rPr>
        <w:t>或由单独或合计持有10%以上(含10%)基金份额的基金份额持有人</w:t>
      </w:r>
      <w:r>
        <w:rPr>
          <w:rFonts w:hint="eastAsia" w:ascii="宋体" w:hAnsi="宋体" w:cs="Arial"/>
          <w:sz w:val="24"/>
        </w:rPr>
        <w:t>提名；</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(2)决议：基金份额持有人大会在基金管理人职责终止后6个月内对被提名的基金管理人形成决议，该决议需经参加大会的基金份额持有人所持表决权的三分之二以上(含三分之二)表决通过</w:t>
      </w:r>
      <w:r>
        <w:rPr>
          <w:rFonts w:hint="eastAsia" w:ascii="宋体" w:hAnsi="宋体" w:cs="Arial"/>
          <w:bCs/>
          <w:sz w:val="24"/>
        </w:rPr>
        <w:t>，决议自表决通过之日起生效</w:t>
      </w:r>
      <w:r>
        <w:rPr>
          <w:rFonts w:hint="eastAsia" w:ascii="宋体" w:hAnsi="宋体" w:cs="Arial"/>
          <w:sz w:val="24"/>
        </w:rPr>
        <w:t>；</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(3)临时基金管理人：新任基金管理人产生之前，由中国证监会指定临时基金管理人；</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(4)备案：基金份额持有人大会更换基金管理人的决议须报中国证监会备案；</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(5)公告：基金管理人更换后，由基金托管人在更换基金管理人的基金份额持有人大会决议生效后按规定在规定媒介公告；</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(6)交接：基金管理人职责终止的，基金管理人应妥善保管基金管理业务资料，及时向临时基金管理人或新任基金管理人办理基金管理业务的移交手续，临时基金管理人或新任基金管理人应及时接收。新任基金管理人或临时基金管理人应与基金托管人核对基金资产总值和净值；</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(7)审计：基金管理人职责终止的，应当按照法律法规规定聘请会计师事务所对基金财产进行审计，并将审计结果予以公告，同时报中国证监会备案，审计费用在基金财产中列支；</w:t>
      </w:r>
    </w:p>
    <w:p>
      <w:pPr>
        <w:adjustRightInd w:val="0"/>
        <w:snapToGrid w:val="0"/>
        <w:spacing w:line="360" w:lineRule="auto"/>
        <w:ind w:firstLine="480" w:firstLineChars="200"/>
        <w:rPr>
          <w:rFonts w:hint="eastAsia" w:ascii="宋体" w:hAnsi="宋体"/>
          <w:sz w:val="30"/>
          <w:szCs w:val="30"/>
        </w:rPr>
      </w:pPr>
      <w:r>
        <w:rPr>
          <w:rFonts w:hint="eastAsia" w:ascii="宋体" w:hAnsi="宋体" w:cs="Arial"/>
          <w:sz w:val="24"/>
        </w:rPr>
        <w:t>(8)基金名称变更：基金管理人更换后，如果原任或新任基金管理人要求，应按其要求替换或删除基金名称中与原基金管理人有关的名称字样。</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（二）基金托管人职责终止的情形</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1.基金托管人职责终止的情形</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有下列情形之一的，基金托管人职责终止：</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(1)被依法取消基金托管资格；</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(2)依法解散、被依法撤销或被依法宣告破产；</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(3)被基金份额持有人大会解任；</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(4)法律法规及中国证监会规定的和《基金合同》约定的其他情形。</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2.基金托管人的更换程序</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(1)提名：新任基金托管人由基金管理人</w:t>
      </w:r>
      <w:r>
        <w:rPr>
          <w:rFonts w:hint="eastAsia" w:ascii="宋体" w:hAnsi="宋体"/>
          <w:sz w:val="24"/>
        </w:rPr>
        <w:t>或由单独或合计持有10%以上(含10%)基金份额的基金份额持有人</w:t>
      </w:r>
      <w:r>
        <w:rPr>
          <w:rFonts w:hint="eastAsia" w:ascii="宋体" w:hAnsi="宋体" w:cs="Arial"/>
          <w:sz w:val="24"/>
        </w:rPr>
        <w:t>提名；</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(2)决议：基金份额持有人大会在基金托管人职责终止后6个月内对被提名的基金托管人形成决议，该决议需经参加大会的基金份额持有人所持表决权的三分之二以上(含三分之二)表决通过</w:t>
      </w:r>
      <w:r>
        <w:rPr>
          <w:rFonts w:hint="eastAsia" w:ascii="宋体" w:hAnsi="宋体" w:cs="Arial"/>
          <w:bCs/>
          <w:sz w:val="24"/>
        </w:rPr>
        <w:t>，决议自表决通过之日起生效</w:t>
      </w:r>
      <w:r>
        <w:rPr>
          <w:rFonts w:hint="eastAsia" w:ascii="宋体" w:hAnsi="宋体" w:cs="Arial"/>
          <w:sz w:val="24"/>
        </w:rPr>
        <w:t>；</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(3)临时基金托管人：新任基金托管人产生之前，由中国证监会指定临时基金托管人；</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(4)备案：基金份额持有人大会更换基金托管人的决议须报中国证监会备案；</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(5)公告：基金托管人更换后，由基金管理人在更换基金托管人的基金份额持有人大会决议生效后按规定在规定媒介公告；</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(6)交接：基金托管人职责终止的，应当妥善保管基金财产和基金托管业务资料，及时办理基金财产和基金托管业务的移交手续，新任基金托管人或者临时基金托管人应当及时接收。新任基金托管人或临时基金托管人应与基金管理人核对基金资产总值和净值；</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(7)审计：基金托管人职责终止的，应当按照法律法规规定聘请会计师事务所对基金财产进行审计，并将审计结果予以公告，同时报中国证监会备案，审计费用在基金财产中列支。</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（三）基金管理人与基金托管人同时更换的条件和程序</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1.提名：如果基金管理人和基金托管人同时更换，由单独或合计持有基金总份额10%以上(含10%)的基金份额持有人提名新的基金管理人和基金托管人；</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2.基金管理人和基金托管人的更换分别按上述程序进行；</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3.公告：新任基金管理人和新任基金托管人应在更换基金管理人和基金托管人的基金份额持有人大会决议生效后按规定在规定媒介上联合公告。</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四）新任或临时基金管理人接收基金管理业务或新任或临时基金托管人接收基金财产和基金托管业务前，原基金管理人或原基金托管人应继续履行相关职责，并保证不做出对基金份额持有人的利益造成损害的行为。原基金管理人或原基金托管人在继续履行相关职责期间，仍有权按照基金合同的规定收取基金管理费（包括固定管理费、或有管理费和超额管理费）或基金托管费。</w:t>
      </w:r>
    </w:p>
    <w:p>
      <w:pPr>
        <w:adjustRightInd w:val="0"/>
        <w:snapToGrid w:val="0"/>
        <w:spacing w:line="360" w:lineRule="auto"/>
        <w:rPr>
          <w:rFonts w:hint="eastAsia" w:ascii="宋体" w:hAnsi="宋体" w:cs="Arial"/>
          <w:sz w:val="24"/>
        </w:rPr>
        <w:sectPr>
          <w:footerReference r:id="rId20" w:type="default"/>
          <w:pgSz w:w="11906" w:h="16838"/>
          <w:pgMar w:top="1418" w:right="1701" w:bottom="1418" w:left="1701" w:header="851" w:footer="992" w:gutter="0"/>
          <w:pgNumType w:start="1"/>
          <w:cols w:space="425" w:num="1"/>
          <w:docGrid w:type="lines" w:linePitch="312" w:charSpace="0"/>
        </w:sectPr>
      </w:pPr>
    </w:p>
    <w:p>
      <w:pPr>
        <w:pStyle w:val="3"/>
        <w:spacing w:line="360" w:lineRule="auto"/>
        <w:jc w:val="center"/>
        <w:rPr>
          <w:rFonts w:hint="eastAsia" w:ascii="宋体" w:hAnsi="宋体" w:eastAsia="宋体"/>
          <w:sz w:val="30"/>
        </w:rPr>
      </w:pPr>
      <w:bookmarkStart w:id="95" w:name="_Toc124325899"/>
      <w:r>
        <w:rPr>
          <w:rFonts w:hint="eastAsia" w:ascii="宋体" w:hAnsi="宋体" w:eastAsia="宋体"/>
          <w:sz w:val="30"/>
        </w:rPr>
        <w:t>十五、禁止行为</w:t>
      </w:r>
      <w:bookmarkEnd w:id="95"/>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本协议当事人禁止从事的行为，包括但不限于：</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（一）基金管理人、基金托管人将其固有财产或者他人财产混同于基金财产从事证券投资。</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（二）基金管理人不公平地对待其管理的不同基金财产，基金托管人不公平地对待其托管的不同基金财产。</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（三）基金管理人、基金托管人利用基金财产或职务之便为基金份额持有人以外的第三人牟取利益。</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（四）基金管理人、基金托管人向基金份额持有人违规承诺收益或者承担损失。</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（五）基金管理人、基金托管人对他人泄露基金运作和管理过程中任何尚未按法律法规规定的方式公开披露的信息。</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（六）基金管理人在没有充足资金的情况下向基金托管人发出投资指令和赎回、分红资金的划拨指令，或违规向基金托管人发出指令。</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（七）基金管理人、基金托管人在行政上、财务上不独立，其高级管理人员和其他从业人员相互兼职。</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（八）基金托管人私自动用或处分基金财产，根据基金管理人的合法指令、《基金合同》或托管协议的规定进行处分的除外。</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九）基金财产用于下列投资或者活动：1.承销证券；2.违反规定向他人贷款或者提供担保；3.从事承担无限责任的投资；4.买卖其他基金份额，但是中国证监会另有规定的除外；5.向其基金管理人、基金托管人出资；6.从事内幕交易、操纵证券交易价格及其他不正当的证券交易活动；7.法律、行政法规和中国证监会规定禁止的其他活动。法律、行政法规或监管部门取消或变更上述限制，如适用于本基金，基金管理人在履行适当程序后，则本基金投资不再受相关限制或按变更后的规定执行。</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（十）法律法规和《基金合同》禁止的其他行为，以及依照法律、行政法规有关规定，由中国证监会规定禁止基金管理人、基金托管人从事的其他行为。</w:t>
      </w:r>
    </w:p>
    <w:p>
      <w:pPr>
        <w:adjustRightInd w:val="0"/>
        <w:snapToGrid w:val="0"/>
        <w:spacing w:line="360" w:lineRule="auto"/>
        <w:rPr>
          <w:rFonts w:hint="eastAsia" w:ascii="宋体" w:hAnsi="宋体"/>
          <w:sz w:val="30"/>
          <w:szCs w:val="30"/>
        </w:rPr>
        <w:sectPr>
          <w:footerReference r:id="rId21" w:type="default"/>
          <w:pgSz w:w="11906" w:h="16838"/>
          <w:pgMar w:top="1418" w:right="1701" w:bottom="1418" w:left="1701" w:header="851" w:footer="992" w:gutter="0"/>
          <w:pgNumType w:start="1"/>
          <w:cols w:space="425" w:num="1"/>
          <w:docGrid w:type="lines" w:linePitch="312" w:charSpace="0"/>
        </w:sectPr>
      </w:pPr>
    </w:p>
    <w:p>
      <w:pPr>
        <w:pStyle w:val="3"/>
        <w:spacing w:line="360" w:lineRule="auto"/>
        <w:jc w:val="center"/>
        <w:rPr>
          <w:rFonts w:hint="eastAsia" w:ascii="宋体" w:hAnsi="宋体" w:eastAsia="宋体"/>
          <w:sz w:val="30"/>
        </w:rPr>
      </w:pPr>
      <w:bookmarkStart w:id="96" w:name="_Toc124325900"/>
      <w:r>
        <w:rPr>
          <w:rFonts w:hint="eastAsia" w:ascii="宋体" w:hAnsi="宋体" w:eastAsia="宋体"/>
          <w:sz w:val="30"/>
        </w:rPr>
        <w:t>十六、托管协议的变更、终止与基金财产的清算</w:t>
      </w:r>
      <w:bookmarkEnd w:id="96"/>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（一）托管协议的变更程序</w:t>
      </w:r>
    </w:p>
    <w:p>
      <w:pPr>
        <w:adjustRightInd w:val="0"/>
        <w:snapToGrid w:val="0"/>
        <w:spacing w:line="360" w:lineRule="auto"/>
        <w:ind w:firstLine="480" w:firstLineChars="200"/>
        <w:rPr>
          <w:rFonts w:hint="eastAsia" w:ascii="宋体" w:hAnsi="宋体"/>
          <w:sz w:val="30"/>
          <w:szCs w:val="30"/>
        </w:rPr>
      </w:pPr>
      <w:r>
        <w:rPr>
          <w:rFonts w:hint="eastAsia" w:ascii="宋体" w:hAnsi="宋体" w:cs="Arial"/>
          <w:sz w:val="24"/>
        </w:rPr>
        <w:t>本协议双方当事人经协商一致，可以对协议进行修改。修改后的新协议，其内容不得与《基金合同》的规定有任何冲突。</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（二）托管协议终止的情形</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1.《基金合同》终止；</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2.基金托管人解散、依法被撤销、破产或由其他基金托管人接管基金资产；</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3.基金管理人解散、依法被撤销、破产或由其他基金管理人接管基金管理权；</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4.发生法律法规或《基金合同》规定的终止事项。</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（三）基金财产的清算</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1.基金财产清算小组：自出现《基金合同》终止事由之日起30个工作日内成立基金财产清算小组，基金管理人组织基金财产清算小组并在中国证监会的监督下进行基金清算。</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2.在基金财产清算小组接管基金财产之前，基金管理人和基金托管人应按照《基金合同》和托管协议的规定继续履行保护基金财产安全的职责。</w:t>
      </w:r>
    </w:p>
    <w:p>
      <w:pPr>
        <w:adjustRightInd w:val="0"/>
        <w:snapToGrid w:val="0"/>
        <w:spacing w:line="360" w:lineRule="auto"/>
        <w:ind w:firstLine="480" w:firstLineChars="200"/>
        <w:rPr>
          <w:rFonts w:hint="eastAsia" w:ascii="宋体" w:hAnsi="宋体" w:cs="Arial"/>
          <w:sz w:val="24"/>
        </w:rPr>
      </w:pPr>
      <w:r>
        <w:rPr>
          <w:rFonts w:ascii="宋体" w:hAnsi="宋体" w:cs="Arial"/>
          <w:sz w:val="24"/>
        </w:rPr>
        <w:t>3</w:t>
      </w:r>
      <w:r>
        <w:rPr>
          <w:rFonts w:hint="eastAsia" w:ascii="宋体" w:hAnsi="宋体" w:cs="Arial"/>
          <w:sz w:val="24"/>
        </w:rPr>
        <w:t>.基金财产清算小组组成：基金财产清算小组成员由基金管理人、基金托管人、符合《中华人民共和国证券法》规定的注册会计师、律师以及中国证监会指定的人员组成。基金财产清算小组可以聘用必要的工作人员。</w:t>
      </w:r>
    </w:p>
    <w:p>
      <w:pPr>
        <w:adjustRightInd w:val="0"/>
        <w:snapToGrid w:val="0"/>
        <w:spacing w:line="360" w:lineRule="auto"/>
        <w:ind w:firstLine="480" w:firstLineChars="200"/>
        <w:rPr>
          <w:rFonts w:hint="eastAsia" w:ascii="宋体" w:hAnsi="宋体" w:cs="Arial"/>
          <w:sz w:val="24"/>
        </w:rPr>
      </w:pPr>
      <w:r>
        <w:rPr>
          <w:rFonts w:ascii="宋体" w:hAnsi="宋体" w:cs="Arial"/>
          <w:sz w:val="24"/>
        </w:rPr>
        <w:t>4</w:t>
      </w:r>
      <w:r>
        <w:rPr>
          <w:rFonts w:hint="eastAsia" w:ascii="宋体" w:hAnsi="宋体" w:cs="Arial"/>
          <w:sz w:val="24"/>
        </w:rPr>
        <w:t>.基金财产清算小组职责：基金财产清算小组负责基金财产的保管、清理、估价、变现和分配。基金财产清算小组可以依法进行必要的民事活动。</w:t>
      </w:r>
    </w:p>
    <w:p>
      <w:pPr>
        <w:adjustRightInd w:val="0"/>
        <w:snapToGrid w:val="0"/>
        <w:spacing w:line="360" w:lineRule="auto"/>
        <w:ind w:firstLine="480" w:firstLineChars="200"/>
        <w:rPr>
          <w:rFonts w:hint="eastAsia" w:ascii="宋体" w:hAnsi="宋体" w:cs="Arial"/>
          <w:sz w:val="24"/>
        </w:rPr>
      </w:pPr>
      <w:r>
        <w:rPr>
          <w:rFonts w:ascii="宋体" w:hAnsi="宋体" w:cs="Arial"/>
          <w:sz w:val="24"/>
        </w:rPr>
        <w:t>5</w:t>
      </w:r>
      <w:r>
        <w:rPr>
          <w:rFonts w:hint="eastAsia" w:ascii="宋体" w:hAnsi="宋体" w:cs="Arial"/>
          <w:sz w:val="24"/>
        </w:rPr>
        <w:t>.基金财产清算程序：</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(1)《基金合同》终止情形出现时，由基金财产清算小组统一接管基金财产；</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(2)对基金财产和债权债务进行清理和确认；</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(3)对基金财产进行估值和变现；</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(4)制作清算报告；</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(5)聘请会计师事务所对清算报告进行外部审计，聘请律师事务所对清算报告出具法律意见书；</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(6)将清算报告报中国证监会备案并公告；</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(7)对基金剩余财产进行分配。</w:t>
      </w:r>
    </w:p>
    <w:p>
      <w:pPr>
        <w:adjustRightInd w:val="0"/>
        <w:snapToGrid w:val="0"/>
        <w:spacing w:line="360" w:lineRule="auto"/>
        <w:ind w:firstLine="480" w:firstLineChars="200"/>
        <w:rPr>
          <w:rFonts w:hint="eastAsia" w:ascii="宋体" w:hAnsi="宋体" w:cs="Arial"/>
          <w:sz w:val="24"/>
        </w:rPr>
      </w:pPr>
      <w:r>
        <w:rPr>
          <w:rFonts w:ascii="宋体" w:hAnsi="宋体" w:cs="Arial"/>
          <w:sz w:val="24"/>
        </w:rPr>
        <w:t>6</w:t>
      </w:r>
      <w:r>
        <w:rPr>
          <w:rFonts w:hint="eastAsia" w:ascii="宋体" w:hAnsi="宋体" w:cs="Arial"/>
          <w:sz w:val="24"/>
        </w:rPr>
        <w:t>.基金财产清算的期限为6个月，但因本基金所持证券的流动性受到限制而不能及时变现的，清算期限可相应顺延。</w:t>
      </w:r>
    </w:p>
    <w:p>
      <w:pPr>
        <w:adjustRightInd w:val="0"/>
        <w:snapToGrid w:val="0"/>
        <w:spacing w:line="360" w:lineRule="auto"/>
        <w:ind w:firstLine="480" w:firstLineChars="200"/>
        <w:rPr>
          <w:rFonts w:hint="eastAsia" w:ascii="宋体" w:hAnsi="宋体" w:cs="Arial"/>
          <w:sz w:val="24"/>
        </w:rPr>
      </w:pPr>
      <w:r>
        <w:rPr>
          <w:rFonts w:ascii="宋体" w:hAnsi="宋体" w:cs="Arial"/>
          <w:sz w:val="24"/>
        </w:rPr>
        <w:t>7</w:t>
      </w:r>
      <w:r>
        <w:rPr>
          <w:rFonts w:hint="eastAsia" w:ascii="宋体" w:hAnsi="宋体" w:cs="Arial"/>
          <w:sz w:val="24"/>
        </w:rPr>
        <w:t>.清算费用</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清算费用是指基金财产清算小组在进行基金清算过程中发生的所有合理费用，清算费用由基金财产清算小组优先从基金剩余财产中支付。</w:t>
      </w:r>
    </w:p>
    <w:p>
      <w:pPr>
        <w:adjustRightInd w:val="0"/>
        <w:snapToGrid w:val="0"/>
        <w:spacing w:line="360" w:lineRule="auto"/>
        <w:ind w:firstLine="480" w:firstLineChars="200"/>
        <w:rPr>
          <w:rFonts w:hint="eastAsia" w:ascii="宋体" w:hAnsi="宋体" w:cs="Arial"/>
          <w:sz w:val="24"/>
        </w:rPr>
      </w:pPr>
      <w:r>
        <w:rPr>
          <w:rFonts w:ascii="宋体" w:hAnsi="宋体" w:cs="Arial"/>
          <w:sz w:val="24"/>
        </w:rPr>
        <w:t>8</w:t>
      </w:r>
      <w:r>
        <w:rPr>
          <w:rFonts w:hint="eastAsia" w:ascii="宋体" w:hAnsi="宋体" w:cs="Arial"/>
          <w:sz w:val="24"/>
        </w:rPr>
        <w:t>.基金财产清算剩余资产的分配：</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依据基金财产清算的分配方案，将基金财产清算后的全部剩余资产扣除基金财产清算费用、交纳所欠税款并清偿基金债务后，按基金份额持有人持有的各类基金份额比例进行分配，并扣除相应的超额管理费（如涉及）。</w:t>
      </w:r>
    </w:p>
    <w:p>
      <w:pPr>
        <w:adjustRightInd w:val="0"/>
        <w:snapToGrid w:val="0"/>
        <w:spacing w:line="360" w:lineRule="auto"/>
        <w:ind w:firstLine="480" w:firstLineChars="200"/>
        <w:rPr>
          <w:rFonts w:hint="eastAsia" w:ascii="宋体" w:hAnsi="宋体" w:cs="Arial"/>
          <w:sz w:val="24"/>
        </w:rPr>
      </w:pPr>
      <w:r>
        <w:rPr>
          <w:rFonts w:ascii="宋体" w:hAnsi="宋体" w:cs="Arial"/>
          <w:sz w:val="24"/>
        </w:rPr>
        <w:t>9</w:t>
      </w:r>
      <w:r>
        <w:rPr>
          <w:rFonts w:hint="eastAsia" w:ascii="宋体" w:hAnsi="宋体" w:cs="Arial"/>
          <w:sz w:val="24"/>
        </w:rPr>
        <w:t>.基金财产清算的公告</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清算过程中的有关重大事项须及时公告；基金财产清算报告经</w:t>
      </w:r>
      <w:r>
        <w:rPr>
          <w:rFonts w:hint="eastAsia"/>
          <w:bCs/>
          <w:sz w:val="24"/>
        </w:rPr>
        <w:t>符合《中华人民共和国证券法》规定</w:t>
      </w:r>
      <w:r>
        <w:rPr>
          <w:rFonts w:hint="eastAsia" w:ascii="宋体" w:hAnsi="宋体" w:cs="Arial"/>
          <w:sz w:val="24"/>
        </w:rPr>
        <w:t>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pPr>
        <w:adjustRightInd w:val="0"/>
        <w:snapToGrid w:val="0"/>
        <w:spacing w:line="360" w:lineRule="auto"/>
        <w:ind w:firstLine="480" w:firstLineChars="200"/>
        <w:rPr>
          <w:rFonts w:hint="eastAsia" w:ascii="宋体" w:hAnsi="宋体" w:cs="Arial"/>
          <w:sz w:val="24"/>
        </w:rPr>
      </w:pPr>
      <w:r>
        <w:rPr>
          <w:rFonts w:ascii="宋体" w:hAnsi="宋体" w:cs="Arial"/>
          <w:sz w:val="24"/>
        </w:rPr>
        <w:t>10</w:t>
      </w:r>
      <w:r>
        <w:rPr>
          <w:rFonts w:hint="eastAsia" w:ascii="宋体" w:hAnsi="宋体" w:cs="Arial"/>
          <w:sz w:val="24"/>
        </w:rPr>
        <w:t>.基金财产清算账册及文件的保存</w:t>
      </w:r>
    </w:p>
    <w:p>
      <w:pPr>
        <w:spacing w:line="360" w:lineRule="auto"/>
        <w:ind w:firstLine="480" w:firstLineChars="200"/>
        <w:rPr>
          <w:sz w:val="24"/>
        </w:rPr>
      </w:pPr>
      <w:r>
        <w:rPr>
          <w:rFonts w:hint="eastAsia" w:ascii="宋体" w:hAnsi="宋体" w:cs="Arial"/>
          <w:sz w:val="24"/>
        </w:rPr>
        <w:t>基金财产清算账册及有关文件由基金托管人保存</w:t>
      </w:r>
      <w:r>
        <w:rPr>
          <w:rFonts w:hint="eastAsia"/>
          <w:bCs/>
          <w:sz w:val="24"/>
        </w:rPr>
        <w:t>20年以上，法律法规或监管规则另有规定的从其规定</w:t>
      </w:r>
      <w:r>
        <w:rPr>
          <w:rFonts w:hint="eastAsia"/>
          <w:sz w:val="24"/>
        </w:rPr>
        <w:t>。</w:t>
      </w:r>
    </w:p>
    <w:p>
      <w:pPr>
        <w:adjustRightInd w:val="0"/>
        <w:snapToGrid w:val="0"/>
        <w:spacing w:line="360" w:lineRule="auto"/>
        <w:ind w:firstLine="480" w:firstLineChars="200"/>
        <w:rPr>
          <w:rFonts w:hint="eastAsia" w:ascii="宋体" w:hAnsi="宋体" w:cs="Arial"/>
          <w:sz w:val="24"/>
        </w:rPr>
        <w:sectPr>
          <w:footerReference r:id="rId22" w:type="default"/>
          <w:pgSz w:w="11906" w:h="16838"/>
          <w:pgMar w:top="1418" w:right="1701" w:bottom="1418" w:left="1701" w:header="851" w:footer="992" w:gutter="0"/>
          <w:pgNumType w:start="1"/>
          <w:cols w:space="425" w:num="1"/>
          <w:docGrid w:type="lines" w:linePitch="312" w:charSpace="0"/>
        </w:sectPr>
      </w:pPr>
    </w:p>
    <w:p>
      <w:pPr>
        <w:pStyle w:val="3"/>
        <w:spacing w:line="360" w:lineRule="auto"/>
        <w:jc w:val="center"/>
        <w:rPr>
          <w:rFonts w:hint="eastAsia" w:ascii="宋体" w:hAnsi="宋体" w:eastAsia="宋体"/>
          <w:sz w:val="30"/>
        </w:rPr>
      </w:pPr>
      <w:bookmarkStart w:id="97" w:name="_Toc124325901"/>
      <w:r>
        <w:rPr>
          <w:rFonts w:hint="eastAsia" w:ascii="宋体" w:hAnsi="宋体" w:eastAsia="宋体"/>
          <w:sz w:val="30"/>
        </w:rPr>
        <w:t>十七、违约责任</w:t>
      </w:r>
      <w:bookmarkEnd w:id="97"/>
    </w:p>
    <w:p>
      <w:pPr>
        <w:pStyle w:val="4"/>
      </w:pP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（一）基金管理人、基金托管人不履行本协议或履行本协议不符合约定的，应当承担违约责任。</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二）基金管理人、基金托管人在履行各自职责的过程中，违反《基金法》等法律法规的规定或者《基金合同》和本托管协议约定，给基金财产或者基金份额持有人造成损害的，应当分别对各自的行为依法承担赔偿责任；因共同行为给基金财产或者基金份额持有人造成损害的，应当承担连带赔偿责任，</w:t>
      </w:r>
      <w:r>
        <w:rPr>
          <w:bCs/>
          <w:sz w:val="24"/>
        </w:rPr>
        <w:t>对损失的赔偿，仅限于直接损失</w:t>
      </w:r>
      <w:r>
        <w:rPr>
          <w:sz w:val="24"/>
        </w:rPr>
        <w:t>。</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1.不可抗力；</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2.基金管理人和/或基金托管人按照当时有效的法律法规或中国证监会、银行业监督管理机构等监管机构的规定作为或不作为而造成的损失等；</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3.在没有过错的情况下，基金管理人由于按照《基金合同》规定的投资原则投资或不投资造成的损失等。</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（五）违约行为虽已发生，但本托管协议能够继续履行的，在最大限度地保护基金份额持有人利益的前提下，基金管理人和基金托管人应当继续履行本协议。</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六）由于基金管理人、基金托管人不可控制的因素导致业务出现差错，基金管理人和基金托管人虽然已经采取必要、适当、合理的措施进行检查，但是未能发现错误或因上述原因未能及时更正的，由此造成基金财产或投资人损失，基金管理人和基金托管人免除赔偿责任。但是基金管理人和基金托管人应积极采取必要的措施减轻或消除由此造成的影响。</w:t>
      </w:r>
    </w:p>
    <w:p>
      <w:pPr>
        <w:adjustRightInd w:val="0"/>
        <w:snapToGrid w:val="0"/>
        <w:spacing w:line="360" w:lineRule="auto"/>
        <w:outlineLvl w:val="0"/>
        <w:rPr>
          <w:rFonts w:hint="eastAsia" w:ascii="宋体" w:hAnsi="宋体" w:cs="Arial"/>
          <w:sz w:val="24"/>
        </w:rPr>
        <w:sectPr>
          <w:footerReference r:id="rId23" w:type="default"/>
          <w:pgSz w:w="11906" w:h="16838"/>
          <w:pgMar w:top="1418" w:right="1701" w:bottom="1418" w:left="1701" w:header="851" w:footer="992" w:gutter="0"/>
          <w:pgNumType w:start="1"/>
          <w:cols w:space="425" w:num="1"/>
          <w:docGrid w:type="lines" w:linePitch="312" w:charSpace="0"/>
        </w:sectPr>
      </w:pPr>
    </w:p>
    <w:p>
      <w:pPr>
        <w:pStyle w:val="3"/>
        <w:spacing w:line="360" w:lineRule="auto"/>
        <w:jc w:val="center"/>
        <w:rPr>
          <w:rFonts w:hint="eastAsia" w:ascii="宋体" w:hAnsi="宋体" w:eastAsia="宋体"/>
          <w:sz w:val="30"/>
        </w:rPr>
      </w:pPr>
      <w:bookmarkStart w:id="98" w:name="_Toc124325902"/>
      <w:r>
        <w:rPr>
          <w:rFonts w:hint="eastAsia" w:ascii="宋体" w:hAnsi="宋体" w:eastAsia="宋体"/>
          <w:sz w:val="30"/>
        </w:rPr>
        <w:t>十八、争议解决方式</w:t>
      </w:r>
      <w:bookmarkEnd w:id="98"/>
    </w:p>
    <w:p>
      <w:pPr>
        <w:adjustRightInd w:val="0"/>
        <w:snapToGrid w:val="0"/>
        <w:spacing w:line="360" w:lineRule="auto"/>
        <w:ind w:firstLine="482" w:firstLineChars="200"/>
        <w:rPr>
          <w:rFonts w:hint="eastAsia" w:ascii="宋体" w:hAnsi="宋体" w:cs="Arial"/>
          <w:b/>
          <w:bCs/>
          <w:i/>
          <w:iCs/>
          <w:sz w:val="24"/>
        </w:rPr>
      </w:pPr>
      <w:r>
        <w:rPr>
          <w:rFonts w:hint="eastAsia" w:ascii="宋体" w:hAnsi="宋体" w:cs="Arial"/>
          <w:b/>
          <w:bCs/>
          <w:i/>
          <w:iCs/>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除裁决另有规定的，仲裁费用由败诉方承担。</w:t>
      </w:r>
    </w:p>
    <w:p>
      <w:pPr>
        <w:adjustRightInd w:val="0"/>
        <w:snapToGrid w:val="0"/>
        <w:spacing w:line="360" w:lineRule="auto"/>
        <w:ind w:firstLine="482" w:firstLineChars="200"/>
        <w:rPr>
          <w:rFonts w:hint="eastAsia" w:ascii="宋体" w:hAnsi="宋体" w:cs="Arial"/>
          <w:b/>
          <w:bCs/>
          <w:i/>
          <w:iCs/>
          <w:sz w:val="24"/>
        </w:rPr>
      </w:pPr>
      <w:r>
        <w:rPr>
          <w:rFonts w:hint="eastAsia" w:ascii="宋体" w:hAnsi="宋体" w:cs="Arial"/>
          <w:b/>
          <w:bCs/>
          <w:i/>
          <w:iCs/>
          <w:sz w:val="24"/>
        </w:rPr>
        <w:t>争议处理期间，双方当事人应恪守基金管理人和基金托管人职责，各自继续忠实、勤勉、尽责地履行《基金合同》和本托管协议规定的义务，维护基金份额持有人的合法权益。</w:t>
      </w:r>
    </w:p>
    <w:p>
      <w:pPr>
        <w:adjustRightInd w:val="0"/>
        <w:snapToGrid w:val="0"/>
        <w:spacing w:line="360" w:lineRule="auto"/>
        <w:ind w:firstLine="482" w:firstLineChars="200"/>
        <w:rPr>
          <w:rFonts w:hint="eastAsia" w:ascii="宋体" w:hAnsi="宋体" w:cs="Arial"/>
          <w:b/>
          <w:bCs/>
          <w:i/>
          <w:iCs/>
          <w:sz w:val="24"/>
        </w:rPr>
      </w:pPr>
      <w:r>
        <w:rPr>
          <w:rFonts w:hint="eastAsia" w:ascii="宋体" w:hAnsi="宋体" w:cs="Arial"/>
          <w:b/>
          <w:bCs/>
          <w:i/>
          <w:iCs/>
          <w:sz w:val="24"/>
        </w:rPr>
        <w:t>本协议受中国法律（为本协议之目的，不包括香港特别行政区、澳门特别行政区和台湾地区法律）管辖并按其解释。</w:t>
      </w:r>
    </w:p>
    <w:p>
      <w:pPr>
        <w:adjustRightInd w:val="0"/>
        <w:snapToGrid w:val="0"/>
        <w:spacing w:line="360" w:lineRule="auto"/>
        <w:rPr>
          <w:rFonts w:hint="eastAsia" w:ascii="宋体" w:hAnsi="宋体" w:cs="Arial"/>
          <w:b/>
          <w:bCs/>
          <w:i/>
          <w:iCs/>
          <w:sz w:val="24"/>
        </w:rPr>
        <w:sectPr>
          <w:footerReference r:id="rId24" w:type="default"/>
          <w:pgSz w:w="11906" w:h="16838"/>
          <w:pgMar w:top="1418" w:right="1701" w:bottom="1418" w:left="1701" w:header="851" w:footer="992" w:gutter="0"/>
          <w:pgNumType w:start="1"/>
          <w:cols w:space="425" w:num="1"/>
          <w:docGrid w:type="lines" w:linePitch="312" w:charSpace="0"/>
        </w:sectPr>
      </w:pPr>
    </w:p>
    <w:p>
      <w:pPr>
        <w:pStyle w:val="3"/>
        <w:spacing w:line="360" w:lineRule="auto"/>
        <w:jc w:val="center"/>
        <w:rPr>
          <w:rFonts w:hint="eastAsia" w:ascii="宋体" w:hAnsi="宋体" w:eastAsia="宋体"/>
          <w:sz w:val="30"/>
        </w:rPr>
      </w:pPr>
      <w:bookmarkStart w:id="99" w:name="_Toc124325903"/>
      <w:r>
        <w:rPr>
          <w:rFonts w:hint="eastAsia" w:ascii="宋体" w:hAnsi="宋体" w:eastAsia="宋体"/>
          <w:sz w:val="30"/>
        </w:rPr>
        <w:t>十九、托管协议的效力</w:t>
      </w:r>
      <w:bookmarkEnd w:id="99"/>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双方对托管协议的效力约定如下：</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注册的文本为正式文本。</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（二）托管协议自《基金合同》成立之日起成立，自《基金合同》生效之日起生效。托管协议的有效期自其生效之日起至基金财产清算结果报中国证监会备案并公告之日止。</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（三）托管协议自生效之日起对托管协议当事人具有同等的法律约束力。</w:t>
      </w:r>
    </w:p>
    <w:p>
      <w:pPr>
        <w:adjustRightInd w:val="0"/>
        <w:snapToGrid w:val="0"/>
        <w:spacing w:line="360" w:lineRule="auto"/>
        <w:ind w:firstLine="480" w:firstLineChars="200"/>
        <w:rPr>
          <w:rFonts w:hint="eastAsia" w:ascii="宋体" w:hAnsi="宋体"/>
          <w:sz w:val="30"/>
          <w:szCs w:val="30"/>
        </w:rPr>
      </w:pPr>
      <w:r>
        <w:rPr>
          <w:rFonts w:hint="eastAsia" w:ascii="宋体" w:hAnsi="宋体" w:cs="Arial"/>
          <w:sz w:val="24"/>
        </w:rPr>
        <w:t>（四）本协议一式三份，协议双方各持一份，上报监管机构一份，每份具有同等的法律效力。</w:t>
      </w:r>
    </w:p>
    <w:p>
      <w:pPr>
        <w:adjustRightInd w:val="0"/>
        <w:snapToGrid w:val="0"/>
        <w:spacing w:line="360" w:lineRule="auto"/>
        <w:rPr>
          <w:rFonts w:hint="eastAsia" w:ascii="宋体" w:hAnsi="宋体" w:cs="Arial"/>
          <w:sz w:val="24"/>
        </w:rPr>
        <w:sectPr>
          <w:footerReference r:id="rId25" w:type="default"/>
          <w:pgSz w:w="11906" w:h="16838"/>
          <w:pgMar w:top="1418" w:right="1701" w:bottom="1418" w:left="1701" w:header="851" w:footer="992" w:gutter="0"/>
          <w:pgNumType w:start="1"/>
          <w:cols w:space="425" w:num="1"/>
          <w:docGrid w:type="lines" w:linePitch="312" w:charSpace="0"/>
        </w:sectPr>
      </w:pPr>
    </w:p>
    <w:p>
      <w:pPr>
        <w:pStyle w:val="3"/>
        <w:spacing w:line="360" w:lineRule="auto"/>
        <w:jc w:val="center"/>
        <w:rPr>
          <w:rFonts w:hint="eastAsia" w:ascii="宋体" w:hAnsi="宋体" w:eastAsia="宋体"/>
          <w:sz w:val="30"/>
        </w:rPr>
      </w:pPr>
      <w:bookmarkStart w:id="100" w:name="_Toc124325904"/>
      <w:r>
        <w:rPr>
          <w:rFonts w:hint="eastAsia" w:ascii="宋体" w:hAnsi="宋体" w:eastAsia="宋体"/>
          <w:sz w:val="30"/>
        </w:rPr>
        <w:t>二十、其他事项</w:t>
      </w:r>
      <w:bookmarkEnd w:id="100"/>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如发生有权司法机关依法冻结基金份额持有人的基金份额时，基金管理人应予以配合，承担司法协助义务。</w:t>
      </w:r>
    </w:p>
    <w:p>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除本协议有明确定义外，本协议的用语定义适用《基金合同》的约定。本协议未尽事宜，当事人依据《基金合同》、有关法律法规等规定协商办理。</w:t>
      </w:r>
    </w:p>
    <w:p>
      <w:pPr>
        <w:adjustRightInd w:val="0"/>
        <w:snapToGrid w:val="0"/>
        <w:spacing w:line="360" w:lineRule="auto"/>
        <w:rPr>
          <w:rFonts w:hint="eastAsia" w:ascii="宋体" w:hAnsi="宋体"/>
          <w:b/>
          <w:bCs/>
        </w:rPr>
        <w:sectPr>
          <w:footerReference r:id="rId26" w:type="default"/>
          <w:pgSz w:w="11906" w:h="16838"/>
          <w:pgMar w:top="1418" w:right="1701" w:bottom="1418" w:left="1701" w:header="851" w:footer="992" w:gutter="0"/>
          <w:pgNumType w:start="1"/>
          <w:cols w:space="425" w:num="1"/>
          <w:docGrid w:type="lines" w:linePitch="312" w:charSpace="0"/>
        </w:sectPr>
      </w:pPr>
    </w:p>
    <w:p>
      <w:pPr>
        <w:pStyle w:val="3"/>
        <w:spacing w:line="360" w:lineRule="auto"/>
        <w:jc w:val="center"/>
        <w:rPr>
          <w:rFonts w:hint="eastAsia" w:ascii="宋体" w:hAnsi="宋体" w:eastAsia="宋体"/>
          <w:sz w:val="30"/>
        </w:rPr>
      </w:pPr>
      <w:bookmarkStart w:id="101" w:name="_Toc124325905"/>
      <w:r>
        <w:rPr>
          <w:rFonts w:hint="eastAsia" w:ascii="宋体" w:hAnsi="宋体" w:eastAsia="宋体"/>
          <w:sz w:val="30"/>
        </w:rPr>
        <w:t>二十一、托管协议的签订</w:t>
      </w:r>
      <w:bookmarkEnd w:id="101"/>
    </w:p>
    <w:p>
      <w:pPr>
        <w:adjustRightInd w:val="0"/>
        <w:snapToGrid w:val="0"/>
        <w:spacing w:line="360" w:lineRule="auto"/>
        <w:ind w:firstLine="480" w:firstLineChars="200"/>
        <w:rPr>
          <w:rFonts w:hint="eastAsia" w:ascii="宋体" w:hAnsi="宋体"/>
        </w:rPr>
      </w:pPr>
      <w:r>
        <w:rPr>
          <w:rFonts w:hint="eastAsia" w:ascii="宋体" w:hAnsi="宋体" w:cs="Arial"/>
          <w:sz w:val="24"/>
        </w:rPr>
        <w:t>本协议双方法定代表人或授权代表签章、签订地、签订日</w:t>
      </w:r>
      <w:bookmarkStart w:id="102" w:name="_GoBack"/>
      <w:bookmarkEnd w:id="102"/>
    </w:p>
    <w:sectPr>
      <w:footerReference r:id="rId27" w:type="default"/>
      <w:pgSz w:w="11906" w:h="16838"/>
      <w:pgMar w:top="1418" w:right="1701" w:bottom="1418" w:left="1701"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12" w:usb3="00000000" w:csb0="00040001" w:csb1="00000000"/>
  </w:font>
  <w:font w:name="Arial Unicode MS">
    <w:altName w:val="Malgun Gothic Semilight"/>
    <w:panose1 w:val="020B0604020202020204"/>
    <w:charset w:val="86"/>
    <w:family w:val="swiss"/>
    <w:pitch w:val="default"/>
    <w:sig w:usb0="00000000" w:usb1="00000000" w:usb2="0000003F" w:usb3="00000000" w:csb0="003F01FF"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Malgun Gothic Semilight">
    <w:panose1 w:val="020B0502040204020203"/>
    <w:charset w:val="86"/>
    <w:family w:val="auto"/>
    <w:pitch w:val="default"/>
    <w:sig w:usb0="900002AF" w:usb1="01D77CFB" w:usb2="00000012" w:usb3="00000000" w:csb0="203E01BD" w:csb1="D7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30"/>
      </w:rPr>
    </w:pPr>
    <w:r>
      <w:rPr>
        <w:rStyle w:val="30"/>
      </w:rPr>
      <w:fldChar w:fldCharType="begin"/>
    </w:r>
    <w:r>
      <w:rPr>
        <w:rStyle w:val="30"/>
      </w:rPr>
      <w:instrText xml:space="preserve">PAGE  </w:instrText>
    </w:r>
    <w:r>
      <w:rPr>
        <w:rStyle w:val="30"/>
      </w:rPr>
      <w:fldChar w:fldCharType="separate"/>
    </w:r>
    <w:r>
      <w:rPr>
        <w:rStyle w:val="30"/>
      </w:rPr>
      <w:t>1</w:t>
    </w:r>
    <w:r>
      <w:rPr>
        <w:rStyle w:val="30"/>
      </w:rPr>
      <w:fldChar w:fldCharType="end"/>
    </w:r>
  </w:p>
  <w:p>
    <w:pPr>
      <w:pStyle w:val="1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rFonts w:hint="eastAsia"/>
      </w:rPr>
      <w:t>7-</w:t>
    </w:r>
    <w:r>
      <w:fldChar w:fldCharType="begin"/>
    </w:r>
    <w:r>
      <w:instrText xml:space="preserve">PAGE   \* MERGEFORMAT</w:instrText>
    </w:r>
    <w:r>
      <w:fldChar w:fldCharType="separate"/>
    </w:r>
    <w:r>
      <w:rPr>
        <w:lang w:val="zh-CN"/>
      </w:rPr>
      <w:t>7</w:t>
    </w:r>
    <w:r>
      <w:fldChar w:fldCharType="end"/>
    </w:r>
  </w:p>
  <w:p>
    <w:pPr>
      <w:pStyle w:val="14"/>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rFonts w:hint="eastAsia"/>
      </w:rPr>
      <w:t>8-</w:t>
    </w:r>
    <w:r>
      <w:fldChar w:fldCharType="begin"/>
    </w:r>
    <w:r>
      <w:instrText xml:space="preserve">PAGE   \* MERGEFORMAT</w:instrText>
    </w:r>
    <w:r>
      <w:fldChar w:fldCharType="separate"/>
    </w:r>
    <w:r>
      <w:rPr>
        <w:lang w:val="zh-CN"/>
      </w:rPr>
      <w:t>6</w:t>
    </w:r>
    <w:r>
      <w:fldChar w:fldCharType="end"/>
    </w:r>
  </w:p>
  <w:p>
    <w:pPr>
      <w:pStyle w:val="14"/>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rFonts w:hint="eastAsia"/>
      </w:rPr>
      <w:t>9-</w:t>
    </w:r>
    <w:r>
      <w:fldChar w:fldCharType="begin"/>
    </w:r>
    <w:r>
      <w:instrText xml:space="preserve">PAGE   \* MERGEFORMAT</w:instrText>
    </w:r>
    <w:r>
      <w:fldChar w:fldCharType="separate"/>
    </w:r>
    <w:r>
      <w:rPr>
        <w:lang w:val="zh-CN"/>
      </w:rPr>
      <w:t>1</w:t>
    </w:r>
    <w:r>
      <w:fldChar w:fldCharType="end"/>
    </w:r>
  </w:p>
  <w:p>
    <w:pPr>
      <w:pStyle w:val="14"/>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rFonts w:hint="eastAsia"/>
      </w:rPr>
      <w:t>10-</w:t>
    </w:r>
    <w:r>
      <w:fldChar w:fldCharType="begin"/>
    </w:r>
    <w:r>
      <w:instrText xml:space="preserve">PAGE   \* MERGEFORMAT</w:instrText>
    </w:r>
    <w:r>
      <w:fldChar w:fldCharType="separate"/>
    </w:r>
    <w:r>
      <w:rPr>
        <w:lang w:val="zh-CN"/>
      </w:rPr>
      <w:t>2</w:t>
    </w:r>
    <w:r>
      <w:fldChar w:fldCharType="end"/>
    </w:r>
  </w:p>
  <w:p>
    <w:pPr>
      <w:pStyle w:val="14"/>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rFonts w:hint="eastAsia"/>
      </w:rPr>
      <w:t>11-</w:t>
    </w:r>
    <w:r>
      <w:fldChar w:fldCharType="begin"/>
    </w:r>
    <w:r>
      <w:instrText xml:space="preserve">PAGE   \* MERGEFORMAT</w:instrText>
    </w:r>
    <w:r>
      <w:fldChar w:fldCharType="separate"/>
    </w:r>
    <w:r>
      <w:rPr>
        <w:lang w:val="zh-CN"/>
      </w:rPr>
      <w:t>5</w:t>
    </w:r>
    <w:r>
      <w:fldChar w:fldCharType="end"/>
    </w:r>
  </w:p>
  <w:p>
    <w:pPr>
      <w:pStyle w:val="14"/>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rFonts w:hint="eastAsia"/>
      </w:rPr>
      <w:t>12-</w:t>
    </w:r>
    <w:r>
      <w:fldChar w:fldCharType="begin"/>
    </w:r>
    <w:r>
      <w:instrText xml:space="preserve">PAGE   \* MERGEFORMAT</w:instrText>
    </w:r>
    <w:r>
      <w:fldChar w:fldCharType="separate"/>
    </w:r>
    <w:r>
      <w:rPr>
        <w:lang w:val="zh-CN"/>
      </w:rPr>
      <w:t>1</w:t>
    </w:r>
    <w:r>
      <w:fldChar w:fldCharType="end"/>
    </w:r>
  </w:p>
  <w:p>
    <w:pPr>
      <w:pStyle w:val="14"/>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rFonts w:hint="eastAsia"/>
      </w:rPr>
      <w:t>13-</w:t>
    </w:r>
    <w:r>
      <w:fldChar w:fldCharType="begin"/>
    </w:r>
    <w:r>
      <w:instrText xml:space="preserve">PAGE   \* MERGEFORMAT</w:instrText>
    </w:r>
    <w:r>
      <w:fldChar w:fldCharType="separate"/>
    </w:r>
    <w:r>
      <w:rPr>
        <w:lang w:val="zh-CN"/>
      </w:rPr>
      <w:t>1</w:t>
    </w:r>
    <w:r>
      <w:fldChar w:fldCharType="end"/>
    </w:r>
  </w:p>
  <w:p>
    <w:pPr>
      <w:pStyle w:val="14"/>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rFonts w:hint="eastAsia"/>
      </w:rPr>
      <w:t>14-</w:t>
    </w:r>
    <w:r>
      <w:fldChar w:fldCharType="begin"/>
    </w:r>
    <w:r>
      <w:instrText xml:space="preserve">PAGE   \* MERGEFORMAT</w:instrText>
    </w:r>
    <w:r>
      <w:fldChar w:fldCharType="separate"/>
    </w:r>
    <w:r>
      <w:rPr>
        <w:lang w:val="zh-CN"/>
      </w:rPr>
      <w:t>3</w:t>
    </w:r>
    <w:r>
      <w:fldChar w:fldCharType="end"/>
    </w:r>
  </w:p>
  <w:p>
    <w:pPr>
      <w:pStyle w:val="14"/>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rFonts w:hint="eastAsia"/>
      </w:rPr>
      <w:t>15-</w:t>
    </w:r>
    <w:r>
      <w:fldChar w:fldCharType="begin"/>
    </w:r>
    <w:r>
      <w:instrText xml:space="preserve">PAGE   \* MERGEFORMAT</w:instrText>
    </w:r>
    <w:r>
      <w:fldChar w:fldCharType="separate"/>
    </w:r>
    <w:r>
      <w:rPr>
        <w:lang w:val="zh-CN"/>
      </w:rPr>
      <w:t>1</w:t>
    </w:r>
    <w:r>
      <w:fldChar w:fldCharType="end"/>
    </w:r>
  </w:p>
  <w:p>
    <w:pPr>
      <w:pStyle w:val="14"/>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rFonts w:hint="eastAsia"/>
      </w:rPr>
      <w:t>16-</w:t>
    </w:r>
    <w:r>
      <w:fldChar w:fldCharType="begin"/>
    </w:r>
    <w:r>
      <w:instrText xml:space="preserve">PAGE   \* MERGEFORMAT</w:instrText>
    </w:r>
    <w:r>
      <w:fldChar w:fldCharType="separate"/>
    </w:r>
    <w:r>
      <w:rPr>
        <w:lang w:val="zh-CN"/>
      </w:rPr>
      <w:t>2</w:t>
    </w:r>
    <w: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30"/>
      </w:rPr>
    </w:pPr>
    <w:r>
      <w:rPr>
        <w:rStyle w:val="30"/>
      </w:rPr>
      <w:fldChar w:fldCharType="begin"/>
    </w:r>
    <w:r>
      <w:rPr>
        <w:rStyle w:val="30"/>
      </w:rPr>
      <w:instrText xml:space="preserve">PAGE  </w:instrText>
    </w:r>
    <w:r>
      <w:rPr>
        <w:rStyle w:val="30"/>
      </w:rPr>
      <w:fldChar w:fldCharType="end"/>
    </w:r>
  </w:p>
  <w:p>
    <w:pPr>
      <w:pStyle w:val="14"/>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rFonts w:hint="eastAsia"/>
      </w:rPr>
      <w:t>17-</w:t>
    </w:r>
    <w:r>
      <w:fldChar w:fldCharType="begin"/>
    </w:r>
    <w:r>
      <w:instrText xml:space="preserve">PAGE   \* MERGEFORMAT</w:instrText>
    </w:r>
    <w:r>
      <w:fldChar w:fldCharType="separate"/>
    </w:r>
    <w:r>
      <w:rPr>
        <w:lang w:val="zh-CN"/>
      </w:rPr>
      <w:t>1</w:t>
    </w:r>
    <w:r>
      <w:fldChar w:fldCharType="end"/>
    </w:r>
  </w:p>
  <w:p>
    <w:pPr>
      <w:pStyle w:val="14"/>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rFonts w:hint="eastAsia"/>
      </w:rPr>
      <w:t>18-</w:t>
    </w:r>
    <w:r>
      <w:fldChar w:fldCharType="begin"/>
    </w:r>
    <w:r>
      <w:instrText xml:space="preserve">PAGE   \* MERGEFORMAT</w:instrText>
    </w:r>
    <w:r>
      <w:fldChar w:fldCharType="separate"/>
    </w:r>
    <w:r>
      <w:rPr>
        <w:lang w:val="zh-CN"/>
      </w:rPr>
      <w:t>1</w:t>
    </w:r>
    <w:r>
      <w:fldChar w:fldCharType="end"/>
    </w:r>
  </w:p>
  <w:p>
    <w:pPr>
      <w:pStyle w:val="14"/>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rFonts w:hint="eastAsia"/>
      </w:rPr>
      <w:t>19-</w:t>
    </w:r>
    <w:r>
      <w:fldChar w:fldCharType="begin"/>
    </w:r>
    <w:r>
      <w:instrText xml:space="preserve">PAGE   \* MERGEFORMAT</w:instrText>
    </w:r>
    <w:r>
      <w:fldChar w:fldCharType="separate"/>
    </w:r>
    <w:r>
      <w:rPr>
        <w:lang w:val="zh-CN"/>
      </w:rPr>
      <w:t>1</w:t>
    </w:r>
    <w:r>
      <w:fldChar w:fldCharType="end"/>
    </w:r>
  </w:p>
  <w:p>
    <w:pPr>
      <w:pStyle w:val="14"/>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rFonts w:hint="eastAsia"/>
      </w:rPr>
      <w:t>20-</w:t>
    </w:r>
    <w:r>
      <w:fldChar w:fldCharType="begin"/>
    </w:r>
    <w:r>
      <w:instrText xml:space="preserve">PAGE   \* MERGEFORMAT</w:instrText>
    </w:r>
    <w:r>
      <w:fldChar w:fldCharType="separate"/>
    </w:r>
    <w:r>
      <w:rPr>
        <w:lang w:val="zh-CN"/>
      </w:rPr>
      <w:t>1</w:t>
    </w:r>
    <w:r>
      <w:fldChar w:fldCharType="end"/>
    </w:r>
  </w:p>
  <w:p>
    <w:pPr>
      <w:pStyle w:val="14"/>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rFonts w:hint="eastAsia"/>
      </w:rPr>
      <w:t>0-</w:t>
    </w:r>
    <w:r>
      <w:fldChar w:fldCharType="begin"/>
    </w:r>
    <w:r>
      <w:instrText xml:space="preserve">PAGE   \* MERGEFORMAT</w:instrText>
    </w:r>
    <w:r>
      <w:fldChar w:fldCharType="separate"/>
    </w:r>
    <w:r>
      <w:rPr>
        <w:lang w:val="zh-CN"/>
      </w:rPr>
      <w:t>1</w:t>
    </w:r>
    <w:r>
      <w:fldChar w:fldCharType="end"/>
    </w:r>
  </w:p>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rFonts w:hint="eastAsia"/>
      </w:rPr>
      <w:t>1-</w:t>
    </w:r>
    <w:r>
      <w:fldChar w:fldCharType="begin"/>
    </w:r>
    <w:r>
      <w:instrText xml:space="preserve">PAGE   \* MERGEFORMAT</w:instrText>
    </w:r>
    <w:r>
      <w:fldChar w:fldCharType="separate"/>
    </w:r>
    <w:r>
      <w:rPr>
        <w:lang w:val="zh-CN"/>
      </w:rPr>
      <w:t>2</w:t>
    </w:r>
    <w:r>
      <w:fldChar w:fldCharType="end"/>
    </w:r>
  </w:p>
  <w:p>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rFonts w:hint="eastAsia"/>
      </w:rPr>
      <w:t>2-</w:t>
    </w:r>
    <w:r>
      <w:fldChar w:fldCharType="begin"/>
    </w:r>
    <w:r>
      <w:instrText xml:space="preserve">PAGE   \* MERGEFORMAT</w:instrText>
    </w:r>
    <w:r>
      <w:fldChar w:fldCharType="separate"/>
    </w:r>
    <w:r>
      <w:rPr>
        <w:lang w:val="zh-CN"/>
      </w:rPr>
      <w:t>1</w:t>
    </w:r>
    <w:r>
      <w:fldChar w:fldCharType="end"/>
    </w:r>
  </w:p>
  <w:p>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rFonts w:hint="eastAsia"/>
      </w:rPr>
      <w:t>3-</w:t>
    </w:r>
    <w:r>
      <w:fldChar w:fldCharType="begin"/>
    </w:r>
    <w:r>
      <w:instrText xml:space="preserve">PAGE   \* MERGEFORMAT</w:instrText>
    </w:r>
    <w:r>
      <w:fldChar w:fldCharType="separate"/>
    </w:r>
    <w:r>
      <w:rPr>
        <w:lang w:val="zh-CN"/>
      </w:rPr>
      <w:t>7</w:t>
    </w:r>
    <w:r>
      <w:fldChar w:fldCharType="end"/>
    </w:r>
  </w:p>
  <w:p>
    <w:pPr>
      <w:pStyle w:val="1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rFonts w:hint="eastAsia"/>
      </w:rPr>
      <w:t>4-</w:t>
    </w:r>
    <w:r>
      <w:fldChar w:fldCharType="begin"/>
    </w:r>
    <w:r>
      <w:instrText xml:space="preserve">PAGE   \* MERGEFORMAT</w:instrText>
    </w:r>
    <w:r>
      <w:fldChar w:fldCharType="separate"/>
    </w:r>
    <w:r>
      <w:rPr>
        <w:lang w:val="zh-CN"/>
      </w:rPr>
      <w:t>1</w:t>
    </w:r>
    <w:r>
      <w:fldChar w:fldCharType="end"/>
    </w:r>
  </w:p>
  <w:p>
    <w:pPr>
      <w:pStyle w:val="1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rFonts w:hint="eastAsia"/>
      </w:rPr>
      <w:t>5-</w:t>
    </w:r>
    <w:r>
      <w:fldChar w:fldCharType="begin"/>
    </w:r>
    <w:r>
      <w:instrText xml:space="preserve">PAGE   \* MERGEFORMAT</w:instrText>
    </w:r>
    <w:r>
      <w:fldChar w:fldCharType="separate"/>
    </w:r>
    <w:r>
      <w:rPr>
        <w:lang w:val="zh-CN"/>
      </w:rPr>
      <w:t>4</w:t>
    </w:r>
    <w:r>
      <w:fldChar w:fldCharType="end"/>
    </w:r>
  </w:p>
  <w:p>
    <w:pPr>
      <w:pStyle w:val="1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rFonts w:hint="eastAsia"/>
      </w:rPr>
      <w:t>6-</w:t>
    </w:r>
    <w:r>
      <w:fldChar w:fldCharType="begin"/>
    </w:r>
    <w:r>
      <w:instrText xml:space="preserve">PAGE   \* MERGEFORMAT</w:instrText>
    </w:r>
    <w:r>
      <w:fldChar w:fldCharType="separate"/>
    </w:r>
    <w:r>
      <w:rPr>
        <w:lang w:val="zh-CN"/>
      </w:rPr>
      <w:t>3</w:t>
    </w:r>
    <w: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E432E6"/>
    <w:multiLevelType w:val="singleLevel"/>
    <w:tmpl w:val="ECE432E6"/>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D46"/>
    <w:rsid w:val="00003D21"/>
    <w:rsid w:val="0000635C"/>
    <w:rsid w:val="00006D94"/>
    <w:rsid w:val="00010CD0"/>
    <w:rsid w:val="00014D89"/>
    <w:rsid w:val="00014F7E"/>
    <w:rsid w:val="00015773"/>
    <w:rsid w:val="000167B7"/>
    <w:rsid w:val="00016E8E"/>
    <w:rsid w:val="000171F6"/>
    <w:rsid w:val="0001732A"/>
    <w:rsid w:val="0002054C"/>
    <w:rsid w:val="00021A17"/>
    <w:rsid w:val="000228E9"/>
    <w:rsid w:val="00023554"/>
    <w:rsid w:val="00023683"/>
    <w:rsid w:val="00024BAF"/>
    <w:rsid w:val="00026163"/>
    <w:rsid w:val="00031B2A"/>
    <w:rsid w:val="00031F5B"/>
    <w:rsid w:val="00033578"/>
    <w:rsid w:val="00035F1F"/>
    <w:rsid w:val="00036A12"/>
    <w:rsid w:val="00037EED"/>
    <w:rsid w:val="000400C4"/>
    <w:rsid w:val="00040992"/>
    <w:rsid w:val="00041366"/>
    <w:rsid w:val="00043F48"/>
    <w:rsid w:val="00044269"/>
    <w:rsid w:val="00044B81"/>
    <w:rsid w:val="00044DF6"/>
    <w:rsid w:val="00044FC1"/>
    <w:rsid w:val="00045129"/>
    <w:rsid w:val="00045196"/>
    <w:rsid w:val="000461B8"/>
    <w:rsid w:val="00046DF0"/>
    <w:rsid w:val="0004751E"/>
    <w:rsid w:val="000501FF"/>
    <w:rsid w:val="00051F27"/>
    <w:rsid w:val="00052115"/>
    <w:rsid w:val="00052B50"/>
    <w:rsid w:val="00052F8F"/>
    <w:rsid w:val="00053880"/>
    <w:rsid w:val="000563A4"/>
    <w:rsid w:val="00057B09"/>
    <w:rsid w:val="000613DF"/>
    <w:rsid w:val="00061ADA"/>
    <w:rsid w:val="000650C0"/>
    <w:rsid w:val="00065C19"/>
    <w:rsid w:val="00065EA6"/>
    <w:rsid w:val="000668D1"/>
    <w:rsid w:val="00074BE4"/>
    <w:rsid w:val="00076B83"/>
    <w:rsid w:val="00080775"/>
    <w:rsid w:val="000809D7"/>
    <w:rsid w:val="00080FDA"/>
    <w:rsid w:val="0008271D"/>
    <w:rsid w:val="00084DAB"/>
    <w:rsid w:val="00086310"/>
    <w:rsid w:val="0009143D"/>
    <w:rsid w:val="000924B2"/>
    <w:rsid w:val="0009258E"/>
    <w:rsid w:val="000935D4"/>
    <w:rsid w:val="000951E0"/>
    <w:rsid w:val="000956ED"/>
    <w:rsid w:val="00096CB9"/>
    <w:rsid w:val="000A02EF"/>
    <w:rsid w:val="000A252E"/>
    <w:rsid w:val="000A26E0"/>
    <w:rsid w:val="000A4D16"/>
    <w:rsid w:val="000A6CEA"/>
    <w:rsid w:val="000B1233"/>
    <w:rsid w:val="000B37DB"/>
    <w:rsid w:val="000B3A8A"/>
    <w:rsid w:val="000B67A2"/>
    <w:rsid w:val="000B6E48"/>
    <w:rsid w:val="000B7C23"/>
    <w:rsid w:val="000C0D35"/>
    <w:rsid w:val="000C1971"/>
    <w:rsid w:val="000C1E15"/>
    <w:rsid w:val="000C4393"/>
    <w:rsid w:val="000C7D7F"/>
    <w:rsid w:val="000D4482"/>
    <w:rsid w:val="000D5535"/>
    <w:rsid w:val="000D7D7E"/>
    <w:rsid w:val="000E1CC2"/>
    <w:rsid w:val="000E29EA"/>
    <w:rsid w:val="000E2AD0"/>
    <w:rsid w:val="000E3198"/>
    <w:rsid w:val="000E4EAF"/>
    <w:rsid w:val="000E52C4"/>
    <w:rsid w:val="000E5388"/>
    <w:rsid w:val="000E60B6"/>
    <w:rsid w:val="000F0495"/>
    <w:rsid w:val="000F0652"/>
    <w:rsid w:val="000F0D51"/>
    <w:rsid w:val="000F21BA"/>
    <w:rsid w:val="000F281E"/>
    <w:rsid w:val="000F3C77"/>
    <w:rsid w:val="000F54B9"/>
    <w:rsid w:val="000F683E"/>
    <w:rsid w:val="000F78DC"/>
    <w:rsid w:val="00104AFA"/>
    <w:rsid w:val="00112E65"/>
    <w:rsid w:val="00112FB1"/>
    <w:rsid w:val="00114F49"/>
    <w:rsid w:val="00116C0C"/>
    <w:rsid w:val="00117776"/>
    <w:rsid w:val="00121E19"/>
    <w:rsid w:val="00122737"/>
    <w:rsid w:val="001230D8"/>
    <w:rsid w:val="001251DB"/>
    <w:rsid w:val="0012542B"/>
    <w:rsid w:val="001311A5"/>
    <w:rsid w:val="001338FA"/>
    <w:rsid w:val="00133AF3"/>
    <w:rsid w:val="0013667C"/>
    <w:rsid w:val="00140054"/>
    <w:rsid w:val="00146476"/>
    <w:rsid w:val="00146732"/>
    <w:rsid w:val="0014725F"/>
    <w:rsid w:val="0015094A"/>
    <w:rsid w:val="001511A2"/>
    <w:rsid w:val="001532B2"/>
    <w:rsid w:val="0015350C"/>
    <w:rsid w:val="00160C1F"/>
    <w:rsid w:val="001639A2"/>
    <w:rsid w:val="00163B57"/>
    <w:rsid w:val="00165461"/>
    <w:rsid w:val="001701E9"/>
    <w:rsid w:val="00170D1A"/>
    <w:rsid w:val="00170F00"/>
    <w:rsid w:val="00171734"/>
    <w:rsid w:val="001722B4"/>
    <w:rsid w:val="00176104"/>
    <w:rsid w:val="001764D0"/>
    <w:rsid w:val="00181A49"/>
    <w:rsid w:val="0018235F"/>
    <w:rsid w:val="001839B6"/>
    <w:rsid w:val="00186112"/>
    <w:rsid w:val="001878E8"/>
    <w:rsid w:val="00187ED4"/>
    <w:rsid w:val="00191221"/>
    <w:rsid w:val="00192194"/>
    <w:rsid w:val="00192D9C"/>
    <w:rsid w:val="00194048"/>
    <w:rsid w:val="001A044F"/>
    <w:rsid w:val="001A0DEC"/>
    <w:rsid w:val="001A13E9"/>
    <w:rsid w:val="001A5A8B"/>
    <w:rsid w:val="001A5E5A"/>
    <w:rsid w:val="001B0085"/>
    <w:rsid w:val="001B00FB"/>
    <w:rsid w:val="001B042F"/>
    <w:rsid w:val="001B12F0"/>
    <w:rsid w:val="001B2884"/>
    <w:rsid w:val="001B4710"/>
    <w:rsid w:val="001B5AC7"/>
    <w:rsid w:val="001B6711"/>
    <w:rsid w:val="001B7170"/>
    <w:rsid w:val="001B7A4A"/>
    <w:rsid w:val="001C059D"/>
    <w:rsid w:val="001C27C9"/>
    <w:rsid w:val="001C5E36"/>
    <w:rsid w:val="001C5E75"/>
    <w:rsid w:val="001C795B"/>
    <w:rsid w:val="001D076B"/>
    <w:rsid w:val="001D32D5"/>
    <w:rsid w:val="001D382E"/>
    <w:rsid w:val="001D3AAE"/>
    <w:rsid w:val="001D45A9"/>
    <w:rsid w:val="001D5523"/>
    <w:rsid w:val="001D6FD3"/>
    <w:rsid w:val="001E0EA2"/>
    <w:rsid w:val="001E1EEE"/>
    <w:rsid w:val="001F0CD3"/>
    <w:rsid w:val="001F1DE0"/>
    <w:rsid w:val="001F242B"/>
    <w:rsid w:val="001F3300"/>
    <w:rsid w:val="001F3E5E"/>
    <w:rsid w:val="001F4ACD"/>
    <w:rsid w:val="001F6322"/>
    <w:rsid w:val="002008D9"/>
    <w:rsid w:val="00202B6B"/>
    <w:rsid w:val="00202CEB"/>
    <w:rsid w:val="002042F9"/>
    <w:rsid w:val="002044F7"/>
    <w:rsid w:val="002045FD"/>
    <w:rsid w:val="002046CF"/>
    <w:rsid w:val="00205831"/>
    <w:rsid w:val="00205E75"/>
    <w:rsid w:val="00206C57"/>
    <w:rsid w:val="00207691"/>
    <w:rsid w:val="002106DD"/>
    <w:rsid w:val="00210AD8"/>
    <w:rsid w:val="002130C8"/>
    <w:rsid w:val="00213D7D"/>
    <w:rsid w:val="00217BDA"/>
    <w:rsid w:val="00217FD6"/>
    <w:rsid w:val="002223D4"/>
    <w:rsid w:val="00222C72"/>
    <w:rsid w:val="00225497"/>
    <w:rsid w:val="00225AAA"/>
    <w:rsid w:val="00227201"/>
    <w:rsid w:val="00227767"/>
    <w:rsid w:val="00230B8F"/>
    <w:rsid w:val="00231DA2"/>
    <w:rsid w:val="00232558"/>
    <w:rsid w:val="00232B63"/>
    <w:rsid w:val="00237E33"/>
    <w:rsid w:val="0024020A"/>
    <w:rsid w:val="002422B1"/>
    <w:rsid w:val="00245B0D"/>
    <w:rsid w:val="00245EA6"/>
    <w:rsid w:val="00247C66"/>
    <w:rsid w:val="00251DB4"/>
    <w:rsid w:val="00251E8D"/>
    <w:rsid w:val="0025363A"/>
    <w:rsid w:val="002553C2"/>
    <w:rsid w:val="002560A6"/>
    <w:rsid w:val="002609E1"/>
    <w:rsid w:val="00260FF1"/>
    <w:rsid w:val="00261673"/>
    <w:rsid w:val="002629E0"/>
    <w:rsid w:val="0026407C"/>
    <w:rsid w:val="002646FC"/>
    <w:rsid w:val="002649F7"/>
    <w:rsid w:val="00267BB2"/>
    <w:rsid w:val="00267F51"/>
    <w:rsid w:val="002706D7"/>
    <w:rsid w:val="00270972"/>
    <w:rsid w:val="002716BE"/>
    <w:rsid w:val="002773E6"/>
    <w:rsid w:val="00277D97"/>
    <w:rsid w:val="00281E57"/>
    <w:rsid w:val="00282C11"/>
    <w:rsid w:val="00283EF6"/>
    <w:rsid w:val="002848D6"/>
    <w:rsid w:val="00285965"/>
    <w:rsid w:val="00287CB0"/>
    <w:rsid w:val="00290018"/>
    <w:rsid w:val="0029435A"/>
    <w:rsid w:val="002954DD"/>
    <w:rsid w:val="002A1FBC"/>
    <w:rsid w:val="002A25E7"/>
    <w:rsid w:val="002A2E37"/>
    <w:rsid w:val="002A4C4A"/>
    <w:rsid w:val="002A6EAA"/>
    <w:rsid w:val="002B167B"/>
    <w:rsid w:val="002B4697"/>
    <w:rsid w:val="002B5639"/>
    <w:rsid w:val="002B651A"/>
    <w:rsid w:val="002B6E7E"/>
    <w:rsid w:val="002B6FC5"/>
    <w:rsid w:val="002C040E"/>
    <w:rsid w:val="002C1536"/>
    <w:rsid w:val="002C256A"/>
    <w:rsid w:val="002C73C0"/>
    <w:rsid w:val="002C77E4"/>
    <w:rsid w:val="002D1DC0"/>
    <w:rsid w:val="002D1E8A"/>
    <w:rsid w:val="002E0724"/>
    <w:rsid w:val="002E0F8A"/>
    <w:rsid w:val="002E1ACA"/>
    <w:rsid w:val="002E337A"/>
    <w:rsid w:val="002E3ADD"/>
    <w:rsid w:val="002E4DD7"/>
    <w:rsid w:val="002E518F"/>
    <w:rsid w:val="002E5CE8"/>
    <w:rsid w:val="002E5E41"/>
    <w:rsid w:val="002E6530"/>
    <w:rsid w:val="002E75B4"/>
    <w:rsid w:val="002F1A6D"/>
    <w:rsid w:val="002F4C05"/>
    <w:rsid w:val="00301E1D"/>
    <w:rsid w:val="0030359A"/>
    <w:rsid w:val="00304385"/>
    <w:rsid w:val="00306034"/>
    <w:rsid w:val="003066DD"/>
    <w:rsid w:val="00311643"/>
    <w:rsid w:val="003124E0"/>
    <w:rsid w:val="00313BF8"/>
    <w:rsid w:val="003155D1"/>
    <w:rsid w:val="003166AD"/>
    <w:rsid w:val="00316C2C"/>
    <w:rsid w:val="00317A95"/>
    <w:rsid w:val="003204F0"/>
    <w:rsid w:val="003210A0"/>
    <w:rsid w:val="003212C2"/>
    <w:rsid w:val="00321A08"/>
    <w:rsid w:val="003279FD"/>
    <w:rsid w:val="00327F11"/>
    <w:rsid w:val="00330725"/>
    <w:rsid w:val="00330F2C"/>
    <w:rsid w:val="00331867"/>
    <w:rsid w:val="00332141"/>
    <w:rsid w:val="00335AC3"/>
    <w:rsid w:val="00336232"/>
    <w:rsid w:val="00337B7F"/>
    <w:rsid w:val="0034160C"/>
    <w:rsid w:val="003443A0"/>
    <w:rsid w:val="003460DC"/>
    <w:rsid w:val="00347353"/>
    <w:rsid w:val="003477AA"/>
    <w:rsid w:val="0035052B"/>
    <w:rsid w:val="00350A10"/>
    <w:rsid w:val="003522DE"/>
    <w:rsid w:val="00352F02"/>
    <w:rsid w:val="0035433A"/>
    <w:rsid w:val="00354C4D"/>
    <w:rsid w:val="003569AC"/>
    <w:rsid w:val="003624EA"/>
    <w:rsid w:val="00365CD6"/>
    <w:rsid w:val="00365E42"/>
    <w:rsid w:val="003706EF"/>
    <w:rsid w:val="0037217E"/>
    <w:rsid w:val="0037259D"/>
    <w:rsid w:val="00377804"/>
    <w:rsid w:val="00380BFC"/>
    <w:rsid w:val="003839F7"/>
    <w:rsid w:val="00385834"/>
    <w:rsid w:val="00385F52"/>
    <w:rsid w:val="00386085"/>
    <w:rsid w:val="00387380"/>
    <w:rsid w:val="00391CCD"/>
    <w:rsid w:val="0039239D"/>
    <w:rsid w:val="00393B0E"/>
    <w:rsid w:val="00394053"/>
    <w:rsid w:val="0039409E"/>
    <w:rsid w:val="00395388"/>
    <w:rsid w:val="003954BF"/>
    <w:rsid w:val="003A0BCD"/>
    <w:rsid w:val="003A15CF"/>
    <w:rsid w:val="003A20A2"/>
    <w:rsid w:val="003A352E"/>
    <w:rsid w:val="003A4948"/>
    <w:rsid w:val="003A4A22"/>
    <w:rsid w:val="003A6723"/>
    <w:rsid w:val="003B130A"/>
    <w:rsid w:val="003B31C9"/>
    <w:rsid w:val="003B6E06"/>
    <w:rsid w:val="003C48AB"/>
    <w:rsid w:val="003C4A57"/>
    <w:rsid w:val="003C5020"/>
    <w:rsid w:val="003C5E55"/>
    <w:rsid w:val="003C77FA"/>
    <w:rsid w:val="003C790B"/>
    <w:rsid w:val="003C7DA6"/>
    <w:rsid w:val="003C7E8B"/>
    <w:rsid w:val="003D2AF5"/>
    <w:rsid w:val="003D5AA9"/>
    <w:rsid w:val="003D794B"/>
    <w:rsid w:val="003D7D69"/>
    <w:rsid w:val="003E6F59"/>
    <w:rsid w:val="003F44D3"/>
    <w:rsid w:val="003F49DC"/>
    <w:rsid w:val="003F5B94"/>
    <w:rsid w:val="003F6501"/>
    <w:rsid w:val="003F7871"/>
    <w:rsid w:val="004023E6"/>
    <w:rsid w:val="0040454C"/>
    <w:rsid w:val="00405EAA"/>
    <w:rsid w:val="00411602"/>
    <w:rsid w:val="004122FF"/>
    <w:rsid w:val="00413C4F"/>
    <w:rsid w:val="004158F4"/>
    <w:rsid w:val="004160F2"/>
    <w:rsid w:val="00421C5B"/>
    <w:rsid w:val="0042296F"/>
    <w:rsid w:val="00424565"/>
    <w:rsid w:val="00424EDC"/>
    <w:rsid w:val="004272B1"/>
    <w:rsid w:val="00430F21"/>
    <w:rsid w:val="00431D76"/>
    <w:rsid w:val="00432AEB"/>
    <w:rsid w:val="00433249"/>
    <w:rsid w:val="0043331C"/>
    <w:rsid w:val="004338CF"/>
    <w:rsid w:val="00440FFF"/>
    <w:rsid w:val="00441B6B"/>
    <w:rsid w:val="00444C9D"/>
    <w:rsid w:val="004474DF"/>
    <w:rsid w:val="0045122D"/>
    <w:rsid w:val="00452440"/>
    <w:rsid w:val="0045316A"/>
    <w:rsid w:val="004564C9"/>
    <w:rsid w:val="00457BD6"/>
    <w:rsid w:val="0046029D"/>
    <w:rsid w:val="00461319"/>
    <w:rsid w:val="004638D8"/>
    <w:rsid w:val="004639FD"/>
    <w:rsid w:val="00463DAC"/>
    <w:rsid w:val="00464C1A"/>
    <w:rsid w:val="00464C2E"/>
    <w:rsid w:val="00465EF0"/>
    <w:rsid w:val="00465F74"/>
    <w:rsid w:val="0046629D"/>
    <w:rsid w:val="004677C3"/>
    <w:rsid w:val="00474600"/>
    <w:rsid w:val="00474D33"/>
    <w:rsid w:val="00474E6B"/>
    <w:rsid w:val="00480388"/>
    <w:rsid w:val="00485783"/>
    <w:rsid w:val="00487F4D"/>
    <w:rsid w:val="004904BD"/>
    <w:rsid w:val="00494CF7"/>
    <w:rsid w:val="004A20DA"/>
    <w:rsid w:val="004A2329"/>
    <w:rsid w:val="004A26C4"/>
    <w:rsid w:val="004A5175"/>
    <w:rsid w:val="004B14AC"/>
    <w:rsid w:val="004B276C"/>
    <w:rsid w:val="004B2B77"/>
    <w:rsid w:val="004B3877"/>
    <w:rsid w:val="004B4580"/>
    <w:rsid w:val="004C09BF"/>
    <w:rsid w:val="004C0E18"/>
    <w:rsid w:val="004C17BF"/>
    <w:rsid w:val="004C1968"/>
    <w:rsid w:val="004C3082"/>
    <w:rsid w:val="004C3B13"/>
    <w:rsid w:val="004C59C4"/>
    <w:rsid w:val="004C7E50"/>
    <w:rsid w:val="004D176A"/>
    <w:rsid w:val="004D2612"/>
    <w:rsid w:val="004D4848"/>
    <w:rsid w:val="004D764C"/>
    <w:rsid w:val="004E106A"/>
    <w:rsid w:val="004E1C53"/>
    <w:rsid w:val="004E1ED0"/>
    <w:rsid w:val="004E2231"/>
    <w:rsid w:val="004E2B83"/>
    <w:rsid w:val="004E3159"/>
    <w:rsid w:val="004E4626"/>
    <w:rsid w:val="004E4ABF"/>
    <w:rsid w:val="004E5C40"/>
    <w:rsid w:val="004E5E57"/>
    <w:rsid w:val="004F205D"/>
    <w:rsid w:val="004F2D3C"/>
    <w:rsid w:val="004F3231"/>
    <w:rsid w:val="004F397E"/>
    <w:rsid w:val="004F494B"/>
    <w:rsid w:val="004F72D3"/>
    <w:rsid w:val="005008B3"/>
    <w:rsid w:val="005108E8"/>
    <w:rsid w:val="0051463E"/>
    <w:rsid w:val="0051646D"/>
    <w:rsid w:val="00517A52"/>
    <w:rsid w:val="00522898"/>
    <w:rsid w:val="005238F6"/>
    <w:rsid w:val="00526544"/>
    <w:rsid w:val="00526B4B"/>
    <w:rsid w:val="00526BC8"/>
    <w:rsid w:val="00530321"/>
    <w:rsid w:val="00531816"/>
    <w:rsid w:val="0053197E"/>
    <w:rsid w:val="00532F58"/>
    <w:rsid w:val="0053301F"/>
    <w:rsid w:val="00533066"/>
    <w:rsid w:val="00533C28"/>
    <w:rsid w:val="0053414A"/>
    <w:rsid w:val="00535798"/>
    <w:rsid w:val="00536937"/>
    <w:rsid w:val="0053748D"/>
    <w:rsid w:val="00537B45"/>
    <w:rsid w:val="005408B0"/>
    <w:rsid w:val="005409A6"/>
    <w:rsid w:val="00541633"/>
    <w:rsid w:val="00542402"/>
    <w:rsid w:val="00544AD1"/>
    <w:rsid w:val="00546381"/>
    <w:rsid w:val="00546747"/>
    <w:rsid w:val="00546846"/>
    <w:rsid w:val="00550E05"/>
    <w:rsid w:val="00550EFF"/>
    <w:rsid w:val="00550FC6"/>
    <w:rsid w:val="00552B11"/>
    <w:rsid w:val="00554676"/>
    <w:rsid w:val="005553A9"/>
    <w:rsid w:val="0055713B"/>
    <w:rsid w:val="00557414"/>
    <w:rsid w:val="005630A5"/>
    <w:rsid w:val="005630D7"/>
    <w:rsid w:val="0056694C"/>
    <w:rsid w:val="00573CD3"/>
    <w:rsid w:val="00575B5B"/>
    <w:rsid w:val="00580F5D"/>
    <w:rsid w:val="00581658"/>
    <w:rsid w:val="00584EA6"/>
    <w:rsid w:val="0059027D"/>
    <w:rsid w:val="00590D95"/>
    <w:rsid w:val="00591E9F"/>
    <w:rsid w:val="005944EA"/>
    <w:rsid w:val="0059503E"/>
    <w:rsid w:val="005A0199"/>
    <w:rsid w:val="005A1824"/>
    <w:rsid w:val="005A495E"/>
    <w:rsid w:val="005A51D2"/>
    <w:rsid w:val="005A5B14"/>
    <w:rsid w:val="005A6E7C"/>
    <w:rsid w:val="005A6E91"/>
    <w:rsid w:val="005B07FC"/>
    <w:rsid w:val="005B23CF"/>
    <w:rsid w:val="005B37E8"/>
    <w:rsid w:val="005B3D7C"/>
    <w:rsid w:val="005B51F6"/>
    <w:rsid w:val="005C2D07"/>
    <w:rsid w:val="005C51FE"/>
    <w:rsid w:val="005C7F1B"/>
    <w:rsid w:val="005D2F57"/>
    <w:rsid w:val="005D3139"/>
    <w:rsid w:val="005D6190"/>
    <w:rsid w:val="005D6413"/>
    <w:rsid w:val="005D670E"/>
    <w:rsid w:val="005E0D8E"/>
    <w:rsid w:val="005F079C"/>
    <w:rsid w:val="005F0817"/>
    <w:rsid w:val="005F10AE"/>
    <w:rsid w:val="005F185A"/>
    <w:rsid w:val="005F3F4C"/>
    <w:rsid w:val="005F5240"/>
    <w:rsid w:val="005F544C"/>
    <w:rsid w:val="005F5C60"/>
    <w:rsid w:val="005F7BAB"/>
    <w:rsid w:val="00601207"/>
    <w:rsid w:val="00603CBB"/>
    <w:rsid w:val="0060601C"/>
    <w:rsid w:val="00610E97"/>
    <w:rsid w:val="00611D50"/>
    <w:rsid w:val="00616DCF"/>
    <w:rsid w:val="006215D5"/>
    <w:rsid w:val="00621B64"/>
    <w:rsid w:val="0062359D"/>
    <w:rsid w:val="006263BA"/>
    <w:rsid w:val="00626C04"/>
    <w:rsid w:val="00630003"/>
    <w:rsid w:val="006322AE"/>
    <w:rsid w:val="0063387F"/>
    <w:rsid w:val="006355C8"/>
    <w:rsid w:val="0064055D"/>
    <w:rsid w:val="006458AB"/>
    <w:rsid w:val="0064707B"/>
    <w:rsid w:val="00650E82"/>
    <w:rsid w:val="00657D74"/>
    <w:rsid w:val="006617E7"/>
    <w:rsid w:val="00663721"/>
    <w:rsid w:val="00664067"/>
    <w:rsid w:val="006659C4"/>
    <w:rsid w:val="006669A7"/>
    <w:rsid w:val="00667BA5"/>
    <w:rsid w:val="00671A34"/>
    <w:rsid w:val="00673E84"/>
    <w:rsid w:val="0067508F"/>
    <w:rsid w:val="006762BF"/>
    <w:rsid w:val="0067669E"/>
    <w:rsid w:val="00680DB5"/>
    <w:rsid w:val="006837A3"/>
    <w:rsid w:val="00684F00"/>
    <w:rsid w:val="00692695"/>
    <w:rsid w:val="00693A2F"/>
    <w:rsid w:val="00693DF5"/>
    <w:rsid w:val="00697A38"/>
    <w:rsid w:val="006A0862"/>
    <w:rsid w:val="006A31A1"/>
    <w:rsid w:val="006A4362"/>
    <w:rsid w:val="006A4E00"/>
    <w:rsid w:val="006A528A"/>
    <w:rsid w:val="006A671D"/>
    <w:rsid w:val="006A77E6"/>
    <w:rsid w:val="006B06F9"/>
    <w:rsid w:val="006B0D00"/>
    <w:rsid w:val="006B148D"/>
    <w:rsid w:val="006B3B83"/>
    <w:rsid w:val="006B44BF"/>
    <w:rsid w:val="006B5B25"/>
    <w:rsid w:val="006B6F5D"/>
    <w:rsid w:val="006C520E"/>
    <w:rsid w:val="006D1BFF"/>
    <w:rsid w:val="006D3381"/>
    <w:rsid w:val="006D4E96"/>
    <w:rsid w:val="006D5D88"/>
    <w:rsid w:val="006D6600"/>
    <w:rsid w:val="006E1F8B"/>
    <w:rsid w:val="006E5251"/>
    <w:rsid w:val="006E6600"/>
    <w:rsid w:val="006E6E63"/>
    <w:rsid w:val="006E76C5"/>
    <w:rsid w:val="006E7987"/>
    <w:rsid w:val="006F0C16"/>
    <w:rsid w:val="006F0FBC"/>
    <w:rsid w:val="006F3E66"/>
    <w:rsid w:val="006F5B90"/>
    <w:rsid w:val="006F5E0C"/>
    <w:rsid w:val="006F5F68"/>
    <w:rsid w:val="006F6B83"/>
    <w:rsid w:val="006F738B"/>
    <w:rsid w:val="00703150"/>
    <w:rsid w:val="00706E80"/>
    <w:rsid w:val="00710AD3"/>
    <w:rsid w:val="00711BDB"/>
    <w:rsid w:val="00711F76"/>
    <w:rsid w:val="007136D1"/>
    <w:rsid w:val="00714840"/>
    <w:rsid w:val="00716B5B"/>
    <w:rsid w:val="007178B3"/>
    <w:rsid w:val="0072186C"/>
    <w:rsid w:val="00722C27"/>
    <w:rsid w:val="00723CED"/>
    <w:rsid w:val="00723EB0"/>
    <w:rsid w:val="00724163"/>
    <w:rsid w:val="00725B2D"/>
    <w:rsid w:val="00726680"/>
    <w:rsid w:val="00726885"/>
    <w:rsid w:val="00726EB5"/>
    <w:rsid w:val="00727580"/>
    <w:rsid w:val="00730362"/>
    <w:rsid w:val="007314B2"/>
    <w:rsid w:val="0073242E"/>
    <w:rsid w:val="0073752F"/>
    <w:rsid w:val="00740D79"/>
    <w:rsid w:val="00742257"/>
    <w:rsid w:val="0075099E"/>
    <w:rsid w:val="00750B0C"/>
    <w:rsid w:val="007540BC"/>
    <w:rsid w:val="007546DA"/>
    <w:rsid w:val="00756FB0"/>
    <w:rsid w:val="00757588"/>
    <w:rsid w:val="007577EF"/>
    <w:rsid w:val="00757E9B"/>
    <w:rsid w:val="007623D2"/>
    <w:rsid w:val="00763EF6"/>
    <w:rsid w:val="00764110"/>
    <w:rsid w:val="00766ED1"/>
    <w:rsid w:val="00767989"/>
    <w:rsid w:val="0077272B"/>
    <w:rsid w:val="007727C5"/>
    <w:rsid w:val="00774890"/>
    <w:rsid w:val="00776037"/>
    <w:rsid w:val="007773D2"/>
    <w:rsid w:val="007778FA"/>
    <w:rsid w:val="00777CA0"/>
    <w:rsid w:val="00781433"/>
    <w:rsid w:val="00781EA0"/>
    <w:rsid w:val="00782886"/>
    <w:rsid w:val="00783212"/>
    <w:rsid w:val="00786874"/>
    <w:rsid w:val="00790693"/>
    <w:rsid w:val="00790D93"/>
    <w:rsid w:val="00791329"/>
    <w:rsid w:val="0079145E"/>
    <w:rsid w:val="00793FE9"/>
    <w:rsid w:val="00796FC3"/>
    <w:rsid w:val="007A014A"/>
    <w:rsid w:val="007A0614"/>
    <w:rsid w:val="007A1D94"/>
    <w:rsid w:val="007A1DAB"/>
    <w:rsid w:val="007A57DA"/>
    <w:rsid w:val="007A5D95"/>
    <w:rsid w:val="007A785C"/>
    <w:rsid w:val="007B1077"/>
    <w:rsid w:val="007B13B1"/>
    <w:rsid w:val="007B1B30"/>
    <w:rsid w:val="007B69BF"/>
    <w:rsid w:val="007B6F82"/>
    <w:rsid w:val="007C0214"/>
    <w:rsid w:val="007C027F"/>
    <w:rsid w:val="007C35A9"/>
    <w:rsid w:val="007C4E34"/>
    <w:rsid w:val="007C6A99"/>
    <w:rsid w:val="007C7657"/>
    <w:rsid w:val="007C7A19"/>
    <w:rsid w:val="007C7BD2"/>
    <w:rsid w:val="007C7DC9"/>
    <w:rsid w:val="007D1CCD"/>
    <w:rsid w:val="007D37F6"/>
    <w:rsid w:val="007D3EF6"/>
    <w:rsid w:val="007D59C8"/>
    <w:rsid w:val="007E21B7"/>
    <w:rsid w:val="007E3A9A"/>
    <w:rsid w:val="007E3A9E"/>
    <w:rsid w:val="007E4594"/>
    <w:rsid w:val="007E4DCB"/>
    <w:rsid w:val="007E5FA3"/>
    <w:rsid w:val="007E6ABD"/>
    <w:rsid w:val="007E6E1D"/>
    <w:rsid w:val="007F2538"/>
    <w:rsid w:val="007F2B6E"/>
    <w:rsid w:val="007F2D46"/>
    <w:rsid w:val="007F43B3"/>
    <w:rsid w:val="007F5CEE"/>
    <w:rsid w:val="007F7AF4"/>
    <w:rsid w:val="00801E73"/>
    <w:rsid w:val="00802317"/>
    <w:rsid w:val="00802385"/>
    <w:rsid w:val="00804545"/>
    <w:rsid w:val="008046B5"/>
    <w:rsid w:val="0080749A"/>
    <w:rsid w:val="0081140A"/>
    <w:rsid w:val="00811D4C"/>
    <w:rsid w:val="00813473"/>
    <w:rsid w:val="008147CC"/>
    <w:rsid w:val="00825D04"/>
    <w:rsid w:val="00826106"/>
    <w:rsid w:val="00827E8C"/>
    <w:rsid w:val="00832D22"/>
    <w:rsid w:val="00834453"/>
    <w:rsid w:val="0083636C"/>
    <w:rsid w:val="008371F1"/>
    <w:rsid w:val="0084262C"/>
    <w:rsid w:val="00843A15"/>
    <w:rsid w:val="00846661"/>
    <w:rsid w:val="0084694A"/>
    <w:rsid w:val="00846D66"/>
    <w:rsid w:val="00846E7A"/>
    <w:rsid w:val="00851F0E"/>
    <w:rsid w:val="00852CE0"/>
    <w:rsid w:val="008536C2"/>
    <w:rsid w:val="00855528"/>
    <w:rsid w:val="00857C20"/>
    <w:rsid w:val="008666F3"/>
    <w:rsid w:val="0087073A"/>
    <w:rsid w:val="008735BC"/>
    <w:rsid w:val="00875F4C"/>
    <w:rsid w:val="008776C3"/>
    <w:rsid w:val="00881D3E"/>
    <w:rsid w:val="00882E9F"/>
    <w:rsid w:val="00882EA3"/>
    <w:rsid w:val="0088397E"/>
    <w:rsid w:val="008846B0"/>
    <w:rsid w:val="00885207"/>
    <w:rsid w:val="008858EF"/>
    <w:rsid w:val="0088669F"/>
    <w:rsid w:val="00887495"/>
    <w:rsid w:val="00890DB3"/>
    <w:rsid w:val="00890F47"/>
    <w:rsid w:val="008926E7"/>
    <w:rsid w:val="00892AC4"/>
    <w:rsid w:val="00896178"/>
    <w:rsid w:val="008A09E4"/>
    <w:rsid w:val="008A136C"/>
    <w:rsid w:val="008A3023"/>
    <w:rsid w:val="008A5332"/>
    <w:rsid w:val="008B00A4"/>
    <w:rsid w:val="008B0861"/>
    <w:rsid w:val="008B1608"/>
    <w:rsid w:val="008B223B"/>
    <w:rsid w:val="008B2B9F"/>
    <w:rsid w:val="008B3949"/>
    <w:rsid w:val="008B4CEF"/>
    <w:rsid w:val="008B5131"/>
    <w:rsid w:val="008B5ADB"/>
    <w:rsid w:val="008B6586"/>
    <w:rsid w:val="008B6EA1"/>
    <w:rsid w:val="008C36BA"/>
    <w:rsid w:val="008C4A88"/>
    <w:rsid w:val="008C6800"/>
    <w:rsid w:val="008E0EEA"/>
    <w:rsid w:val="008E0F7B"/>
    <w:rsid w:val="008E2276"/>
    <w:rsid w:val="008E39D1"/>
    <w:rsid w:val="008E3FBF"/>
    <w:rsid w:val="008E50B2"/>
    <w:rsid w:val="008E5CC5"/>
    <w:rsid w:val="008E720D"/>
    <w:rsid w:val="008F0C7E"/>
    <w:rsid w:val="008F2FC4"/>
    <w:rsid w:val="008F40B6"/>
    <w:rsid w:val="008F412B"/>
    <w:rsid w:val="008F5A88"/>
    <w:rsid w:val="008F61F5"/>
    <w:rsid w:val="008F6C1A"/>
    <w:rsid w:val="008F7175"/>
    <w:rsid w:val="009038D9"/>
    <w:rsid w:val="00904271"/>
    <w:rsid w:val="009047E8"/>
    <w:rsid w:val="0090684C"/>
    <w:rsid w:val="009074BA"/>
    <w:rsid w:val="00907B23"/>
    <w:rsid w:val="0091541D"/>
    <w:rsid w:val="009163CE"/>
    <w:rsid w:val="009211A6"/>
    <w:rsid w:val="009249C7"/>
    <w:rsid w:val="00925260"/>
    <w:rsid w:val="009276CD"/>
    <w:rsid w:val="00927C4F"/>
    <w:rsid w:val="00927E7F"/>
    <w:rsid w:val="00931BE8"/>
    <w:rsid w:val="009329AE"/>
    <w:rsid w:val="009430E9"/>
    <w:rsid w:val="009434F3"/>
    <w:rsid w:val="00945103"/>
    <w:rsid w:val="0094579A"/>
    <w:rsid w:val="00947363"/>
    <w:rsid w:val="00947F14"/>
    <w:rsid w:val="00950A57"/>
    <w:rsid w:val="00951968"/>
    <w:rsid w:val="009557DD"/>
    <w:rsid w:val="00960246"/>
    <w:rsid w:val="00961755"/>
    <w:rsid w:val="00962691"/>
    <w:rsid w:val="00962F57"/>
    <w:rsid w:val="00967C8A"/>
    <w:rsid w:val="00967EE3"/>
    <w:rsid w:val="009703EF"/>
    <w:rsid w:val="009706BB"/>
    <w:rsid w:val="00976979"/>
    <w:rsid w:val="0097769A"/>
    <w:rsid w:val="009777DE"/>
    <w:rsid w:val="00983D27"/>
    <w:rsid w:val="00985A78"/>
    <w:rsid w:val="00986261"/>
    <w:rsid w:val="00987944"/>
    <w:rsid w:val="00990B73"/>
    <w:rsid w:val="0099145E"/>
    <w:rsid w:val="00993F89"/>
    <w:rsid w:val="0099461B"/>
    <w:rsid w:val="00995212"/>
    <w:rsid w:val="00996D01"/>
    <w:rsid w:val="0099743F"/>
    <w:rsid w:val="009A03C5"/>
    <w:rsid w:val="009A0DF1"/>
    <w:rsid w:val="009A1C4D"/>
    <w:rsid w:val="009A25DA"/>
    <w:rsid w:val="009A45F5"/>
    <w:rsid w:val="009A68D9"/>
    <w:rsid w:val="009B01DF"/>
    <w:rsid w:val="009B0E2A"/>
    <w:rsid w:val="009B1B31"/>
    <w:rsid w:val="009B567A"/>
    <w:rsid w:val="009B6EC9"/>
    <w:rsid w:val="009C02F2"/>
    <w:rsid w:val="009C0792"/>
    <w:rsid w:val="009C117C"/>
    <w:rsid w:val="009C19A9"/>
    <w:rsid w:val="009C19E9"/>
    <w:rsid w:val="009C2EFE"/>
    <w:rsid w:val="009C41E9"/>
    <w:rsid w:val="009C4352"/>
    <w:rsid w:val="009C475C"/>
    <w:rsid w:val="009D013D"/>
    <w:rsid w:val="009D1D67"/>
    <w:rsid w:val="009D220F"/>
    <w:rsid w:val="009D3F63"/>
    <w:rsid w:val="009D4F67"/>
    <w:rsid w:val="009D5609"/>
    <w:rsid w:val="009D63BC"/>
    <w:rsid w:val="009D6AE1"/>
    <w:rsid w:val="009E0C6F"/>
    <w:rsid w:val="009E3F64"/>
    <w:rsid w:val="009E48A1"/>
    <w:rsid w:val="009E6127"/>
    <w:rsid w:val="009E6D61"/>
    <w:rsid w:val="009F0077"/>
    <w:rsid w:val="009F0767"/>
    <w:rsid w:val="009F108D"/>
    <w:rsid w:val="009F34C7"/>
    <w:rsid w:val="009F7CA2"/>
    <w:rsid w:val="00A0393B"/>
    <w:rsid w:val="00A0635D"/>
    <w:rsid w:val="00A123BF"/>
    <w:rsid w:val="00A14B1E"/>
    <w:rsid w:val="00A16072"/>
    <w:rsid w:val="00A16117"/>
    <w:rsid w:val="00A22BAC"/>
    <w:rsid w:val="00A25DA9"/>
    <w:rsid w:val="00A274AE"/>
    <w:rsid w:val="00A276AF"/>
    <w:rsid w:val="00A27882"/>
    <w:rsid w:val="00A309A5"/>
    <w:rsid w:val="00A36BFF"/>
    <w:rsid w:val="00A37318"/>
    <w:rsid w:val="00A37C02"/>
    <w:rsid w:val="00A4178A"/>
    <w:rsid w:val="00A430B1"/>
    <w:rsid w:val="00A43A1A"/>
    <w:rsid w:val="00A4558B"/>
    <w:rsid w:val="00A478D5"/>
    <w:rsid w:val="00A50C22"/>
    <w:rsid w:val="00A60378"/>
    <w:rsid w:val="00A60DFA"/>
    <w:rsid w:val="00A62ADB"/>
    <w:rsid w:val="00A63201"/>
    <w:rsid w:val="00A64340"/>
    <w:rsid w:val="00A64C55"/>
    <w:rsid w:val="00A64D49"/>
    <w:rsid w:val="00A64F3A"/>
    <w:rsid w:val="00A65A8A"/>
    <w:rsid w:val="00A65BCF"/>
    <w:rsid w:val="00A65D59"/>
    <w:rsid w:val="00A70401"/>
    <w:rsid w:val="00A7063C"/>
    <w:rsid w:val="00A737C8"/>
    <w:rsid w:val="00A7568C"/>
    <w:rsid w:val="00A7588D"/>
    <w:rsid w:val="00A80934"/>
    <w:rsid w:val="00A82600"/>
    <w:rsid w:val="00A82A3E"/>
    <w:rsid w:val="00A82B10"/>
    <w:rsid w:val="00A83C26"/>
    <w:rsid w:val="00A83F2F"/>
    <w:rsid w:val="00A83F54"/>
    <w:rsid w:val="00A916F3"/>
    <w:rsid w:val="00A92982"/>
    <w:rsid w:val="00A9433E"/>
    <w:rsid w:val="00A94E69"/>
    <w:rsid w:val="00A96301"/>
    <w:rsid w:val="00AA018B"/>
    <w:rsid w:val="00AA0B93"/>
    <w:rsid w:val="00AA22B4"/>
    <w:rsid w:val="00AA58BC"/>
    <w:rsid w:val="00AA5B66"/>
    <w:rsid w:val="00AA62A0"/>
    <w:rsid w:val="00AA660D"/>
    <w:rsid w:val="00AA6A93"/>
    <w:rsid w:val="00AA750F"/>
    <w:rsid w:val="00AB1CCE"/>
    <w:rsid w:val="00AB2F15"/>
    <w:rsid w:val="00AB3459"/>
    <w:rsid w:val="00AB52A3"/>
    <w:rsid w:val="00AB618C"/>
    <w:rsid w:val="00AC009E"/>
    <w:rsid w:val="00AC017E"/>
    <w:rsid w:val="00AC0EF4"/>
    <w:rsid w:val="00AC11C3"/>
    <w:rsid w:val="00AC1A86"/>
    <w:rsid w:val="00AC2B23"/>
    <w:rsid w:val="00AC3D90"/>
    <w:rsid w:val="00AC6A74"/>
    <w:rsid w:val="00AD0408"/>
    <w:rsid w:val="00AD2D22"/>
    <w:rsid w:val="00AD478E"/>
    <w:rsid w:val="00AD6A2F"/>
    <w:rsid w:val="00AE20AF"/>
    <w:rsid w:val="00AE23D2"/>
    <w:rsid w:val="00AE27E9"/>
    <w:rsid w:val="00AE29FB"/>
    <w:rsid w:val="00AE311A"/>
    <w:rsid w:val="00AE55C9"/>
    <w:rsid w:val="00AE60C0"/>
    <w:rsid w:val="00AE6224"/>
    <w:rsid w:val="00AE6230"/>
    <w:rsid w:val="00AE7E21"/>
    <w:rsid w:val="00AF016E"/>
    <w:rsid w:val="00AF05EF"/>
    <w:rsid w:val="00AF1A0C"/>
    <w:rsid w:val="00AF3FF0"/>
    <w:rsid w:val="00AF57A7"/>
    <w:rsid w:val="00AF649C"/>
    <w:rsid w:val="00AF7D4E"/>
    <w:rsid w:val="00B00110"/>
    <w:rsid w:val="00B013E2"/>
    <w:rsid w:val="00B03192"/>
    <w:rsid w:val="00B039D4"/>
    <w:rsid w:val="00B03A1E"/>
    <w:rsid w:val="00B03A37"/>
    <w:rsid w:val="00B04A42"/>
    <w:rsid w:val="00B075DF"/>
    <w:rsid w:val="00B11C43"/>
    <w:rsid w:val="00B11CAB"/>
    <w:rsid w:val="00B12096"/>
    <w:rsid w:val="00B12E7A"/>
    <w:rsid w:val="00B14699"/>
    <w:rsid w:val="00B15101"/>
    <w:rsid w:val="00B16404"/>
    <w:rsid w:val="00B22340"/>
    <w:rsid w:val="00B22679"/>
    <w:rsid w:val="00B234AE"/>
    <w:rsid w:val="00B23F5A"/>
    <w:rsid w:val="00B241AC"/>
    <w:rsid w:val="00B253B0"/>
    <w:rsid w:val="00B26531"/>
    <w:rsid w:val="00B26D05"/>
    <w:rsid w:val="00B2759E"/>
    <w:rsid w:val="00B277FB"/>
    <w:rsid w:val="00B32216"/>
    <w:rsid w:val="00B36080"/>
    <w:rsid w:val="00B3680A"/>
    <w:rsid w:val="00B36EB3"/>
    <w:rsid w:val="00B4079F"/>
    <w:rsid w:val="00B43681"/>
    <w:rsid w:val="00B4503D"/>
    <w:rsid w:val="00B45F24"/>
    <w:rsid w:val="00B46596"/>
    <w:rsid w:val="00B4699F"/>
    <w:rsid w:val="00B47938"/>
    <w:rsid w:val="00B519B5"/>
    <w:rsid w:val="00B51A38"/>
    <w:rsid w:val="00B529E0"/>
    <w:rsid w:val="00B53349"/>
    <w:rsid w:val="00B54DE0"/>
    <w:rsid w:val="00B55D3E"/>
    <w:rsid w:val="00B5738B"/>
    <w:rsid w:val="00B613B5"/>
    <w:rsid w:val="00B621F5"/>
    <w:rsid w:val="00B635EA"/>
    <w:rsid w:val="00B6415B"/>
    <w:rsid w:val="00B649E4"/>
    <w:rsid w:val="00B676FB"/>
    <w:rsid w:val="00B708D8"/>
    <w:rsid w:val="00B7180E"/>
    <w:rsid w:val="00B71BF7"/>
    <w:rsid w:val="00B74271"/>
    <w:rsid w:val="00B74DC0"/>
    <w:rsid w:val="00B76AFD"/>
    <w:rsid w:val="00B76B34"/>
    <w:rsid w:val="00B776BF"/>
    <w:rsid w:val="00B77905"/>
    <w:rsid w:val="00B80738"/>
    <w:rsid w:val="00B82909"/>
    <w:rsid w:val="00B83DE3"/>
    <w:rsid w:val="00B840D4"/>
    <w:rsid w:val="00B84FD8"/>
    <w:rsid w:val="00B85AB9"/>
    <w:rsid w:val="00B86A90"/>
    <w:rsid w:val="00B873D1"/>
    <w:rsid w:val="00B8748B"/>
    <w:rsid w:val="00B87F39"/>
    <w:rsid w:val="00B904AF"/>
    <w:rsid w:val="00B91C74"/>
    <w:rsid w:val="00B94233"/>
    <w:rsid w:val="00B94AC9"/>
    <w:rsid w:val="00B94D6E"/>
    <w:rsid w:val="00B95BC8"/>
    <w:rsid w:val="00B97BBA"/>
    <w:rsid w:val="00BA14E2"/>
    <w:rsid w:val="00BA18D9"/>
    <w:rsid w:val="00BA2759"/>
    <w:rsid w:val="00BA407F"/>
    <w:rsid w:val="00BA409B"/>
    <w:rsid w:val="00BA6C10"/>
    <w:rsid w:val="00BB2121"/>
    <w:rsid w:val="00BB22FC"/>
    <w:rsid w:val="00BB3A0F"/>
    <w:rsid w:val="00BB3A4B"/>
    <w:rsid w:val="00BB3E14"/>
    <w:rsid w:val="00BB506C"/>
    <w:rsid w:val="00BB5335"/>
    <w:rsid w:val="00BB67F3"/>
    <w:rsid w:val="00BB79ED"/>
    <w:rsid w:val="00BC231D"/>
    <w:rsid w:val="00BC29AD"/>
    <w:rsid w:val="00BC4302"/>
    <w:rsid w:val="00BC45F8"/>
    <w:rsid w:val="00BC5568"/>
    <w:rsid w:val="00BC68DE"/>
    <w:rsid w:val="00BC7A01"/>
    <w:rsid w:val="00BD311A"/>
    <w:rsid w:val="00BD3485"/>
    <w:rsid w:val="00BD47B9"/>
    <w:rsid w:val="00BD5E7A"/>
    <w:rsid w:val="00BE02C4"/>
    <w:rsid w:val="00BE0979"/>
    <w:rsid w:val="00BE1362"/>
    <w:rsid w:val="00BE3184"/>
    <w:rsid w:val="00BE4DB4"/>
    <w:rsid w:val="00BE5010"/>
    <w:rsid w:val="00BE65C0"/>
    <w:rsid w:val="00BF1D45"/>
    <w:rsid w:val="00BF3B59"/>
    <w:rsid w:val="00BF3D0A"/>
    <w:rsid w:val="00BF438E"/>
    <w:rsid w:val="00BF4F2C"/>
    <w:rsid w:val="00BF5534"/>
    <w:rsid w:val="00BF6284"/>
    <w:rsid w:val="00BF7271"/>
    <w:rsid w:val="00C03752"/>
    <w:rsid w:val="00C07BF6"/>
    <w:rsid w:val="00C1072D"/>
    <w:rsid w:val="00C10980"/>
    <w:rsid w:val="00C10B36"/>
    <w:rsid w:val="00C121BD"/>
    <w:rsid w:val="00C14125"/>
    <w:rsid w:val="00C14671"/>
    <w:rsid w:val="00C163C9"/>
    <w:rsid w:val="00C2221E"/>
    <w:rsid w:val="00C225F4"/>
    <w:rsid w:val="00C2341E"/>
    <w:rsid w:val="00C242A5"/>
    <w:rsid w:val="00C24BEF"/>
    <w:rsid w:val="00C24DAA"/>
    <w:rsid w:val="00C25242"/>
    <w:rsid w:val="00C25F3C"/>
    <w:rsid w:val="00C260E3"/>
    <w:rsid w:val="00C266F0"/>
    <w:rsid w:val="00C32D12"/>
    <w:rsid w:val="00C34748"/>
    <w:rsid w:val="00C34C71"/>
    <w:rsid w:val="00C361E5"/>
    <w:rsid w:val="00C36EAB"/>
    <w:rsid w:val="00C4042A"/>
    <w:rsid w:val="00C40FFE"/>
    <w:rsid w:val="00C43132"/>
    <w:rsid w:val="00C46468"/>
    <w:rsid w:val="00C50970"/>
    <w:rsid w:val="00C511A7"/>
    <w:rsid w:val="00C516A9"/>
    <w:rsid w:val="00C52177"/>
    <w:rsid w:val="00C543EC"/>
    <w:rsid w:val="00C5493C"/>
    <w:rsid w:val="00C55163"/>
    <w:rsid w:val="00C55E7B"/>
    <w:rsid w:val="00C56CE0"/>
    <w:rsid w:val="00C62444"/>
    <w:rsid w:val="00C63651"/>
    <w:rsid w:val="00C63ADE"/>
    <w:rsid w:val="00C64FBC"/>
    <w:rsid w:val="00C66B0A"/>
    <w:rsid w:val="00C66D8E"/>
    <w:rsid w:val="00C66ECA"/>
    <w:rsid w:val="00C71D25"/>
    <w:rsid w:val="00C726F9"/>
    <w:rsid w:val="00C73D92"/>
    <w:rsid w:val="00C7596C"/>
    <w:rsid w:val="00C75A6D"/>
    <w:rsid w:val="00C800F6"/>
    <w:rsid w:val="00C837EF"/>
    <w:rsid w:val="00C86F12"/>
    <w:rsid w:val="00C87AC2"/>
    <w:rsid w:val="00C87ACF"/>
    <w:rsid w:val="00C91903"/>
    <w:rsid w:val="00C942F9"/>
    <w:rsid w:val="00C952D9"/>
    <w:rsid w:val="00C95B35"/>
    <w:rsid w:val="00C96639"/>
    <w:rsid w:val="00CA0150"/>
    <w:rsid w:val="00CA0461"/>
    <w:rsid w:val="00CA0800"/>
    <w:rsid w:val="00CA50D4"/>
    <w:rsid w:val="00CB0A5F"/>
    <w:rsid w:val="00CB0B0D"/>
    <w:rsid w:val="00CB62A3"/>
    <w:rsid w:val="00CB62C5"/>
    <w:rsid w:val="00CB7191"/>
    <w:rsid w:val="00CB725C"/>
    <w:rsid w:val="00CC0C24"/>
    <w:rsid w:val="00CC0C2F"/>
    <w:rsid w:val="00CC0ECE"/>
    <w:rsid w:val="00CC2B2A"/>
    <w:rsid w:val="00CC4662"/>
    <w:rsid w:val="00CC4DF6"/>
    <w:rsid w:val="00CD0E89"/>
    <w:rsid w:val="00CD2967"/>
    <w:rsid w:val="00CD3042"/>
    <w:rsid w:val="00CD33FA"/>
    <w:rsid w:val="00CD4248"/>
    <w:rsid w:val="00CD67DB"/>
    <w:rsid w:val="00CD75FD"/>
    <w:rsid w:val="00CE1B63"/>
    <w:rsid w:val="00CE27E5"/>
    <w:rsid w:val="00CE4506"/>
    <w:rsid w:val="00CE59BA"/>
    <w:rsid w:val="00CE5B1B"/>
    <w:rsid w:val="00CE6E8B"/>
    <w:rsid w:val="00CF19B1"/>
    <w:rsid w:val="00CF1FBB"/>
    <w:rsid w:val="00CF1FF0"/>
    <w:rsid w:val="00CF4A6A"/>
    <w:rsid w:val="00CF632F"/>
    <w:rsid w:val="00D00D99"/>
    <w:rsid w:val="00D01694"/>
    <w:rsid w:val="00D024CF"/>
    <w:rsid w:val="00D05149"/>
    <w:rsid w:val="00D0542B"/>
    <w:rsid w:val="00D0730F"/>
    <w:rsid w:val="00D078C9"/>
    <w:rsid w:val="00D102DA"/>
    <w:rsid w:val="00D13782"/>
    <w:rsid w:val="00D14D6D"/>
    <w:rsid w:val="00D17010"/>
    <w:rsid w:val="00D200FB"/>
    <w:rsid w:val="00D21FB9"/>
    <w:rsid w:val="00D22FD8"/>
    <w:rsid w:val="00D26F04"/>
    <w:rsid w:val="00D271FD"/>
    <w:rsid w:val="00D30554"/>
    <w:rsid w:val="00D30F53"/>
    <w:rsid w:val="00D33BF8"/>
    <w:rsid w:val="00D33FDD"/>
    <w:rsid w:val="00D4046D"/>
    <w:rsid w:val="00D404ED"/>
    <w:rsid w:val="00D4151D"/>
    <w:rsid w:val="00D41721"/>
    <w:rsid w:val="00D43468"/>
    <w:rsid w:val="00D5272B"/>
    <w:rsid w:val="00D5316B"/>
    <w:rsid w:val="00D55E61"/>
    <w:rsid w:val="00D5631C"/>
    <w:rsid w:val="00D5668A"/>
    <w:rsid w:val="00D5752C"/>
    <w:rsid w:val="00D577BE"/>
    <w:rsid w:val="00D60F70"/>
    <w:rsid w:val="00D6133E"/>
    <w:rsid w:val="00D636B2"/>
    <w:rsid w:val="00D63E9F"/>
    <w:rsid w:val="00D64452"/>
    <w:rsid w:val="00D64A86"/>
    <w:rsid w:val="00D71493"/>
    <w:rsid w:val="00D721E6"/>
    <w:rsid w:val="00D72578"/>
    <w:rsid w:val="00D743A2"/>
    <w:rsid w:val="00D76178"/>
    <w:rsid w:val="00D8089C"/>
    <w:rsid w:val="00D81CD9"/>
    <w:rsid w:val="00D82263"/>
    <w:rsid w:val="00D8581E"/>
    <w:rsid w:val="00D8779E"/>
    <w:rsid w:val="00D906CE"/>
    <w:rsid w:val="00D90A7D"/>
    <w:rsid w:val="00D94214"/>
    <w:rsid w:val="00D97656"/>
    <w:rsid w:val="00DA1EA5"/>
    <w:rsid w:val="00DA2158"/>
    <w:rsid w:val="00DA2E31"/>
    <w:rsid w:val="00DA5619"/>
    <w:rsid w:val="00DA5B32"/>
    <w:rsid w:val="00DA6872"/>
    <w:rsid w:val="00DB16A9"/>
    <w:rsid w:val="00DB388B"/>
    <w:rsid w:val="00DB483F"/>
    <w:rsid w:val="00DB4AB6"/>
    <w:rsid w:val="00DB7B6B"/>
    <w:rsid w:val="00DB7BDC"/>
    <w:rsid w:val="00DC05C2"/>
    <w:rsid w:val="00DC4459"/>
    <w:rsid w:val="00DC452C"/>
    <w:rsid w:val="00DC4668"/>
    <w:rsid w:val="00DC4BC5"/>
    <w:rsid w:val="00DC78CB"/>
    <w:rsid w:val="00DC7BBA"/>
    <w:rsid w:val="00DD378C"/>
    <w:rsid w:val="00DD389F"/>
    <w:rsid w:val="00DD3DC3"/>
    <w:rsid w:val="00DD3F9A"/>
    <w:rsid w:val="00DD5857"/>
    <w:rsid w:val="00DD5A41"/>
    <w:rsid w:val="00DD616A"/>
    <w:rsid w:val="00DD7506"/>
    <w:rsid w:val="00DE0448"/>
    <w:rsid w:val="00DE0BC4"/>
    <w:rsid w:val="00DE1CBB"/>
    <w:rsid w:val="00DE3A6A"/>
    <w:rsid w:val="00DE5C3E"/>
    <w:rsid w:val="00DE6271"/>
    <w:rsid w:val="00DF04FD"/>
    <w:rsid w:val="00DF3744"/>
    <w:rsid w:val="00DF4895"/>
    <w:rsid w:val="00DF6065"/>
    <w:rsid w:val="00DF6D28"/>
    <w:rsid w:val="00DF6EA2"/>
    <w:rsid w:val="00E016AA"/>
    <w:rsid w:val="00E03388"/>
    <w:rsid w:val="00E04B5D"/>
    <w:rsid w:val="00E04B97"/>
    <w:rsid w:val="00E0531F"/>
    <w:rsid w:val="00E05B51"/>
    <w:rsid w:val="00E100C8"/>
    <w:rsid w:val="00E11FAE"/>
    <w:rsid w:val="00E13014"/>
    <w:rsid w:val="00E13364"/>
    <w:rsid w:val="00E1596B"/>
    <w:rsid w:val="00E1622C"/>
    <w:rsid w:val="00E16892"/>
    <w:rsid w:val="00E169D9"/>
    <w:rsid w:val="00E20747"/>
    <w:rsid w:val="00E21380"/>
    <w:rsid w:val="00E23F1B"/>
    <w:rsid w:val="00E25CEB"/>
    <w:rsid w:val="00E266B2"/>
    <w:rsid w:val="00E31204"/>
    <w:rsid w:val="00E332F5"/>
    <w:rsid w:val="00E34F09"/>
    <w:rsid w:val="00E36509"/>
    <w:rsid w:val="00E368E3"/>
    <w:rsid w:val="00E405EB"/>
    <w:rsid w:val="00E405F3"/>
    <w:rsid w:val="00E40C2B"/>
    <w:rsid w:val="00E43984"/>
    <w:rsid w:val="00E453E1"/>
    <w:rsid w:val="00E4788E"/>
    <w:rsid w:val="00E47AF1"/>
    <w:rsid w:val="00E50984"/>
    <w:rsid w:val="00E51565"/>
    <w:rsid w:val="00E51DD9"/>
    <w:rsid w:val="00E57945"/>
    <w:rsid w:val="00E57CFB"/>
    <w:rsid w:val="00E62CCA"/>
    <w:rsid w:val="00E6360B"/>
    <w:rsid w:val="00E6362F"/>
    <w:rsid w:val="00E64511"/>
    <w:rsid w:val="00E6473E"/>
    <w:rsid w:val="00E66383"/>
    <w:rsid w:val="00E6773B"/>
    <w:rsid w:val="00E70050"/>
    <w:rsid w:val="00E71A43"/>
    <w:rsid w:val="00E753F8"/>
    <w:rsid w:val="00E75E18"/>
    <w:rsid w:val="00E76AC3"/>
    <w:rsid w:val="00E80D1D"/>
    <w:rsid w:val="00E84C97"/>
    <w:rsid w:val="00E86E89"/>
    <w:rsid w:val="00E876C0"/>
    <w:rsid w:val="00E87A2C"/>
    <w:rsid w:val="00E90096"/>
    <w:rsid w:val="00E90590"/>
    <w:rsid w:val="00E90C76"/>
    <w:rsid w:val="00E93969"/>
    <w:rsid w:val="00EA0B38"/>
    <w:rsid w:val="00EA2C43"/>
    <w:rsid w:val="00EA325C"/>
    <w:rsid w:val="00EA48E5"/>
    <w:rsid w:val="00EA4BFD"/>
    <w:rsid w:val="00EA63B8"/>
    <w:rsid w:val="00EB2316"/>
    <w:rsid w:val="00EB3C07"/>
    <w:rsid w:val="00EB4FCF"/>
    <w:rsid w:val="00EB7603"/>
    <w:rsid w:val="00EC0E83"/>
    <w:rsid w:val="00EC12E3"/>
    <w:rsid w:val="00EC18C4"/>
    <w:rsid w:val="00EC1A32"/>
    <w:rsid w:val="00EC23F4"/>
    <w:rsid w:val="00EC5686"/>
    <w:rsid w:val="00ED06EC"/>
    <w:rsid w:val="00ED39C0"/>
    <w:rsid w:val="00ED6398"/>
    <w:rsid w:val="00ED6EE7"/>
    <w:rsid w:val="00ED7D44"/>
    <w:rsid w:val="00EE1709"/>
    <w:rsid w:val="00EE2D96"/>
    <w:rsid w:val="00EE3B78"/>
    <w:rsid w:val="00EE7B67"/>
    <w:rsid w:val="00EF435F"/>
    <w:rsid w:val="00EF470A"/>
    <w:rsid w:val="00EF4EB9"/>
    <w:rsid w:val="00EF68AE"/>
    <w:rsid w:val="00F0076C"/>
    <w:rsid w:val="00F03661"/>
    <w:rsid w:val="00F03B51"/>
    <w:rsid w:val="00F03CCA"/>
    <w:rsid w:val="00F0559F"/>
    <w:rsid w:val="00F06621"/>
    <w:rsid w:val="00F104CB"/>
    <w:rsid w:val="00F106CA"/>
    <w:rsid w:val="00F10D90"/>
    <w:rsid w:val="00F11A18"/>
    <w:rsid w:val="00F13268"/>
    <w:rsid w:val="00F1624D"/>
    <w:rsid w:val="00F16984"/>
    <w:rsid w:val="00F16BC1"/>
    <w:rsid w:val="00F17AC5"/>
    <w:rsid w:val="00F17E2B"/>
    <w:rsid w:val="00F17FDB"/>
    <w:rsid w:val="00F22B4A"/>
    <w:rsid w:val="00F233EA"/>
    <w:rsid w:val="00F247CA"/>
    <w:rsid w:val="00F24F75"/>
    <w:rsid w:val="00F2568C"/>
    <w:rsid w:val="00F2684A"/>
    <w:rsid w:val="00F27894"/>
    <w:rsid w:val="00F30197"/>
    <w:rsid w:val="00F30994"/>
    <w:rsid w:val="00F312C6"/>
    <w:rsid w:val="00F32A26"/>
    <w:rsid w:val="00F34111"/>
    <w:rsid w:val="00F35917"/>
    <w:rsid w:val="00F36A22"/>
    <w:rsid w:val="00F4024A"/>
    <w:rsid w:val="00F43353"/>
    <w:rsid w:val="00F446AF"/>
    <w:rsid w:val="00F4470A"/>
    <w:rsid w:val="00F465BE"/>
    <w:rsid w:val="00F475BA"/>
    <w:rsid w:val="00F5245D"/>
    <w:rsid w:val="00F52AA6"/>
    <w:rsid w:val="00F54565"/>
    <w:rsid w:val="00F546D4"/>
    <w:rsid w:val="00F54B89"/>
    <w:rsid w:val="00F55794"/>
    <w:rsid w:val="00F55C2F"/>
    <w:rsid w:val="00F55C6A"/>
    <w:rsid w:val="00F56A15"/>
    <w:rsid w:val="00F56C4A"/>
    <w:rsid w:val="00F6371E"/>
    <w:rsid w:val="00F64CCF"/>
    <w:rsid w:val="00F71904"/>
    <w:rsid w:val="00F71F3E"/>
    <w:rsid w:val="00F72B1D"/>
    <w:rsid w:val="00F746DB"/>
    <w:rsid w:val="00F772E7"/>
    <w:rsid w:val="00F8022C"/>
    <w:rsid w:val="00F81067"/>
    <w:rsid w:val="00F82A77"/>
    <w:rsid w:val="00F833CC"/>
    <w:rsid w:val="00F84277"/>
    <w:rsid w:val="00F869F8"/>
    <w:rsid w:val="00F86B07"/>
    <w:rsid w:val="00F87F4B"/>
    <w:rsid w:val="00F92891"/>
    <w:rsid w:val="00F93ECA"/>
    <w:rsid w:val="00F94151"/>
    <w:rsid w:val="00F942C8"/>
    <w:rsid w:val="00FA08FF"/>
    <w:rsid w:val="00FA5279"/>
    <w:rsid w:val="00FB0A01"/>
    <w:rsid w:val="00FB0C91"/>
    <w:rsid w:val="00FB114E"/>
    <w:rsid w:val="00FB1A66"/>
    <w:rsid w:val="00FB2E8B"/>
    <w:rsid w:val="00FB3FB0"/>
    <w:rsid w:val="00FC06ED"/>
    <w:rsid w:val="00FC10D4"/>
    <w:rsid w:val="00FC3DB1"/>
    <w:rsid w:val="00FC5D05"/>
    <w:rsid w:val="00FC6E26"/>
    <w:rsid w:val="00FC72A2"/>
    <w:rsid w:val="00FD0253"/>
    <w:rsid w:val="00FD0B23"/>
    <w:rsid w:val="00FD13D5"/>
    <w:rsid w:val="00FE4AAB"/>
    <w:rsid w:val="00FE5E69"/>
    <w:rsid w:val="00FE7C50"/>
    <w:rsid w:val="00FF30AB"/>
    <w:rsid w:val="00FF3962"/>
    <w:rsid w:val="00FF6000"/>
    <w:rsid w:val="00FF6C98"/>
    <w:rsid w:val="06FE6B3F"/>
    <w:rsid w:val="07C912C8"/>
    <w:rsid w:val="08C216E7"/>
    <w:rsid w:val="0AE1468C"/>
    <w:rsid w:val="0D5A2878"/>
    <w:rsid w:val="0F781F64"/>
    <w:rsid w:val="10B14200"/>
    <w:rsid w:val="12C9150D"/>
    <w:rsid w:val="13C0532C"/>
    <w:rsid w:val="1654424D"/>
    <w:rsid w:val="185254F4"/>
    <w:rsid w:val="19DD04FE"/>
    <w:rsid w:val="1A51619D"/>
    <w:rsid w:val="1BC02441"/>
    <w:rsid w:val="1D353A79"/>
    <w:rsid w:val="1F263EC5"/>
    <w:rsid w:val="203F2777"/>
    <w:rsid w:val="209B4725"/>
    <w:rsid w:val="209C0404"/>
    <w:rsid w:val="260D5FFF"/>
    <w:rsid w:val="261A193D"/>
    <w:rsid w:val="26956D50"/>
    <w:rsid w:val="275F48F0"/>
    <w:rsid w:val="28E41726"/>
    <w:rsid w:val="2A9249E1"/>
    <w:rsid w:val="2F46173A"/>
    <w:rsid w:val="2FC67770"/>
    <w:rsid w:val="30234286"/>
    <w:rsid w:val="339148B1"/>
    <w:rsid w:val="340444BE"/>
    <w:rsid w:val="35776C6F"/>
    <w:rsid w:val="35E0402C"/>
    <w:rsid w:val="36314876"/>
    <w:rsid w:val="365A6561"/>
    <w:rsid w:val="38B376D7"/>
    <w:rsid w:val="39461982"/>
    <w:rsid w:val="3A6F6335"/>
    <w:rsid w:val="3B903862"/>
    <w:rsid w:val="3D2B57A7"/>
    <w:rsid w:val="3F796DDE"/>
    <w:rsid w:val="404843AC"/>
    <w:rsid w:val="424C3633"/>
    <w:rsid w:val="429D296E"/>
    <w:rsid w:val="45110405"/>
    <w:rsid w:val="45D62D6B"/>
    <w:rsid w:val="468E6050"/>
    <w:rsid w:val="49780F96"/>
    <w:rsid w:val="49BB6219"/>
    <w:rsid w:val="4A873D23"/>
    <w:rsid w:val="4CF006C5"/>
    <w:rsid w:val="4D903ED2"/>
    <w:rsid w:val="4ECD1CE9"/>
    <w:rsid w:val="4EE86780"/>
    <w:rsid w:val="4F48601E"/>
    <w:rsid w:val="55936D7A"/>
    <w:rsid w:val="56B43FD5"/>
    <w:rsid w:val="57254BC4"/>
    <w:rsid w:val="57D91A5B"/>
    <w:rsid w:val="59411774"/>
    <w:rsid w:val="59A96428"/>
    <w:rsid w:val="59B6573E"/>
    <w:rsid w:val="5CB350FB"/>
    <w:rsid w:val="5D113ECD"/>
    <w:rsid w:val="5DAD6B64"/>
    <w:rsid w:val="600A6858"/>
    <w:rsid w:val="63BE53AB"/>
    <w:rsid w:val="64901DEB"/>
    <w:rsid w:val="652122E7"/>
    <w:rsid w:val="652C2472"/>
    <w:rsid w:val="65B66D7F"/>
    <w:rsid w:val="690508E8"/>
    <w:rsid w:val="6AC433FA"/>
    <w:rsid w:val="6ADC3597"/>
    <w:rsid w:val="6E422CE2"/>
    <w:rsid w:val="6FE4229D"/>
    <w:rsid w:val="70A54AE1"/>
    <w:rsid w:val="719E4F12"/>
    <w:rsid w:val="71BF4057"/>
    <w:rsid w:val="7B3033C4"/>
    <w:rsid w:val="7C4D62CB"/>
    <w:rsid w:val="7CA4248E"/>
    <w:rsid w:val="7EC65FE6"/>
    <w:rsid w:val="7F691D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link w:val="36"/>
    <w:qFormat/>
    <w:uiPriority w:val="0"/>
    <w:pPr>
      <w:keepNext/>
      <w:keepLines/>
      <w:spacing w:before="260" w:after="260" w:line="416" w:lineRule="auto"/>
      <w:outlineLvl w:val="1"/>
    </w:pPr>
    <w:rPr>
      <w:rFonts w:ascii="Arial" w:hAnsi="Arial" w:eastAsia="黑体"/>
      <w:b/>
      <w:sz w:val="32"/>
      <w:szCs w:val="20"/>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43"/>
    <w:semiHidden/>
    <w:qFormat/>
    <w:uiPriority w:val="0"/>
    <w:rPr>
      <w:sz w:val="18"/>
      <w:szCs w:val="18"/>
    </w:rPr>
  </w:style>
  <w:style w:type="paragraph" w:styleId="4">
    <w:name w:val="Normal Indent"/>
    <w:basedOn w:val="1"/>
    <w:qFormat/>
    <w:uiPriority w:val="0"/>
    <w:pPr>
      <w:ind w:firstLine="420" w:firstLineChars="200"/>
    </w:pPr>
  </w:style>
  <w:style w:type="paragraph" w:styleId="5">
    <w:name w:val="toc 7"/>
    <w:basedOn w:val="1"/>
    <w:next w:val="1"/>
    <w:semiHidden/>
    <w:qFormat/>
    <w:uiPriority w:val="0"/>
    <w:pPr>
      <w:ind w:left="2520" w:leftChars="1200"/>
    </w:pPr>
  </w:style>
  <w:style w:type="paragraph" w:styleId="6">
    <w:name w:val="annotation text"/>
    <w:basedOn w:val="1"/>
    <w:link w:val="47"/>
    <w:qFormat/>
    <w:uiPriority w:val="0"/>
    <w:pPr>
      <w:jc w:val="left"/>
    </w:pPr>
  </w:style>
  <w:style w:type="paragraph" w:styleId="7">
    <w:name w:val="Body Text"/>
    <w:basedOn w:val="1"/>
    <w:link w:val="38"/>
    <w:qFormat/>
    <w:uiPriority w:val="0"/>
    <w:pPr>
      <w:spacing w:line="360" w:lineRule="auto"/>
    </w:pPr>
    <w:rPr>
      <w:rFonts w:ascii="仿宋_GB2312" w:eastAsia="仿宋_GB2312"/>
      <w:color w:val="000000"/>
      <w:kern w:val="0"/>
      <w:sz w:val="24"/>
      <w:szCs w:val="28"/>
    </w:rPr>
  </w:style>
  <w:style w:type="paragraph" w:styleId="8">
    <w:name w:val="Body Text Indent"/>
    <w:basedOn w:val="1"/>
    <w:link w:val="40"/>
    <w:qFormat/>
    <w:uiPriority w:val="0"/>
    <w:pPr>
      <w:adjustRightInd w:val="0"/>
      <w:snapToGrid w:val="0"/>
      <w:spacing w:line="560" w:lineRule="exact"/>
      <w:ind w:firstLine="480" w:firstLineChars="200"/>
    </w:pPr>
    <w:rPr>
      <w:rFonts w:eastAsia="方正仿宋简体"/>
      <w:sz w:val="24"/>
      <w:szCs w:val="30"/>
    </w:rPr>
  </w:style>
  <w:style w:type="paragraph" w:styleId="9">
    <w:name w:val="toc 5"/>
    <w:basedOn w:val="1"/>
    <w:next w:val="1"/>
    <w:semiHidden/>
    <w:qFormat/>
    <w:uiPriority w:val="0"/>
    <w:pPr>
      <w:ind w:left="1680" w:leftChars="800"/>
    </w:pPr>
  </w:style>
  <w:style w:type="paragraph" w:styleId="10">
    <w:name w:val="toc 3"/>
    <w:basedOn w:val="1"/>
    <w:next w:val="1"/>
    <w:semiHidden/>
    <w:qFormat/>
    <w:uiPriority w:val="0"/>
    <w:pPr>
      <w:ind w:left="840" w:leftChars="400"/>
    </w:pPr>
  </w:style>
  <w:style w:type="paragraph" w:styleId="11">
    <w:name w:val="toc 8"/>
    <w:basedOn w:val="1"/>
    <w:next w:val="1"/>
    <w:semiHidden/>
    <w:qFormat/>
    <w:uiPriority w:val="0"/>
    <w:pPr>
      <w:ind w:left="2940" w:leftChars="1400"/>
    </w:pPr>
  </w:style>
  <w:style w:type="paragraph" w:styleId="12">
    <w:name w:val="Date"/>
    <w:basedOn w:val="1"/>
    <w:next w:val="1"/>
    <w:link w:val="53"/>
    <w:semiHidden/>
    <w:unhideWhenUsed/>
    <w:qFormat/>
    <w:uiPriority w:val="99"/>
    <w:pPr>
      <w:ind w:left="100" w:leftChars="2500"/>
    </w:pPr>
  </w:style>
  <w:style w:type="paragraph" w:styleId="13">
    <w:name w:val="Body Text Indent 2"/>
    <w:basedOn w:val="1"/>
    <w:link w:val="41"/>
    <w:qFormat/>
    <w:uiPriority w:val="0"/>
    <w:pPr>
      <w:spacing w:line="360" w:lineRule="auto"/>
      <w:ind w:firstLine="525"/>
    </w:pPr>
    <w:rPr>
      <w:rFonts w:ascii="宋体" w:hAnsi="宋体"/>
      <w:sz w:val="28"/>
      <w:szCs w:val="20"/>
    </w:rPr>
  </w:style>
  <w:style w:type="paragraph" w:styleId="14">
    <w:name w:val="footer"/>
    <w:basedOn w:val="1"/>
    <w:link w:val="35"/>
    <w:unhideWhenUsed/>
    <w:qFormat/>
    <w:uiPriority w:val="0"/>
    <w:pPr>
      <w:tabs>
        <w:tab w:val="center" w:pos="4153"/>
        <w:tab w:val="right" w:pos="8306"/>
      </w:tabs>
      <w:snapToGrid w:val="0"/>
      <w:jc w:val="left"/>
    </w:pPr>
    <w:rPr>
      <w:sz w:val="18"/>
      <w:szCs w:val="18"/>
    </w:rPr>
  </w:style>
  <w:style w:type="paragraph" w:styleId="15">
    <w:name w:val="header"/>
    <w:basedOn w:val="1"/>
    <w:link w:val="34"/>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semiHidden/>
    <w:qFormat/>
    <w:uiPriority w:val="0"/>
  </w:style>
  <w:style w:type="paragraph" w:styleId="17">
    <w:name w:val="toc 4"/>
    <w:basedOn w:val="1"/>
    <w:next w:val="1"/>
    <w:semiHidden/>
    <w:qFormat/>
    <w:uiPriority w:val="0"/>
    <w:pPr>
      <w:ind w:left="1260" w:leftChars="600"/>
    </w:pPr>
  </w:style>
  <w:style w:type="paragraph" w:styleId="18">
    <w:name w:val="toc 6"/>
    <w:basedOn w:val="1"/>
    <w:next w:val="1"/>
    <w:semiHidden/>
    <w:qFormat/>
    <w:uiPriority w:val="0"/>
    <w:pPr>
      <w:ind w:left="2100" w:leftChars="1000"/>
    </w:pPr>
  </w:style>
  <w:style w:type="paragraph" w:styleId="19">
    <w:name w:val="Body Text Indent 3"/>
    <w:basedOn w:val="1"/>
    <w:link w:val="42"/>
    <w:qFormat/>
    <w:uiPriority w:val="0"/>
    <w:pPr>
      <w:adjustRightInd w:val="0"/>
      <w:snapToGrid w:val="0"/>
      <w:ind w:firstLine="480" w:firstLineChars="200"/>
    </w:pPr>
    <w:rPr>
      <w:rFonts w:ascii="仿宋_GB2312" w:hAnsi="宋体" w:eastAsia="仿宋_GB2312" w:cs="Arial"/>
      <w:color w:val="000000"/>
      <w:sz w:val="24"/>
    </w:rPr>
  </w:style>
  <w:style w:type="paragraph" w:styleId="20">
    <w:name w:val="toc 2"/>
    <w:basedOn w:val="1"/>
    <w:next w:val="1"/>
    <w:semiHidden/>
    <w:qFormat/>
    <w:uiPriority w:val="0"/>
    <w:pPr>
      <w:ind w:left="420" w:leftChars="200"/>
    </w:pPr>
  </w:style>
  <w:style w:type="paragraph" w:styleId="21">
    <w:name w:val="toc 9"/>
    <w:basedOn w:val="1"/>
    <w:next w:val="1"/>
    <w:semiHidden/>
    <w:qFormat/>
    <w:uiPriority w:val="0"/>
    <w:pPr>
      <w:ind w:left="3360" w:leftChars="1600"/>
    </w:pPr>
  </w:style>
  <w:style w:type="paragraph" w:styleId="22">
    <w:name w:val="HTML Preformatted"/>
    <w:basedOn w:val="1"/>
    <w:link w:val="50"/>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3">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styleId="24">
    <w:name w:val="annotation subject"/>
    <w:basedOn w:val="6"/>
    <w:next w:val="6"/>
    <w:link w:val="51"/>
    <w:qFormat/>
    <w:uiPriority w:val="0"/>
    <w:rPr>
      <w:b/>
      <w:bCs/>
    </w:rPr>
  </w:style>
  <w:style w:type="paragraph" w:styleId="25">
    <w:name w:val="Body Text First Indent 2"/>
    <w:basedOn w:val="8"/>
    <w:qFormat/>
    <w:uiPriority w:val="0"/>
    <w:pPr>
      <w:ind w:firstLine="600"/>
    </w:pPr>
  </w:style>
  <w:style w:type="table" w:styleId="27">
    <w:name w:val="Table Grid"/>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0"/>
    <w:rPr>
      <w:b/>
      <w:bCs/>
    </w:rPr>
  </w:style>
  <w:style w:type="character" w:styleId="30">
    <w:name w:val="page number"/>
    <w:basedOn w:val="28"/>
    <w:qFormat/>
    <w:uiPriority w:val="0"/>
  </w:style>
  <w:style w:type="character" w:styleId="31">
    <w:name w:val="FollowedHyperlink"/>
    <w:semiHidden/>
    <w:unhideWhenUsed/>
    <w:qFormat/>
    <w:uiPriority w:val="99"/>
    <w:rPr>
      <w:color w:val="800080"/>
      <w:u w:val="single"/>
    </w:rPr>
  </w:style>
  <w:style w:type="character" w:styleId="32">
    <w:name w:val="Hyperlink"/>
    <w:qFormat/>
    <w:uiPriority w:val="0"/>
    <w:rPr>
      <w:color w:val="0000FF"/>
      <w:u w:val="single"/>
    </w:rPr>
  </w:style>
  <w:style w:type="character" w:styleId="33">
    <w:name w:val="annotation reference"/>
    <w:qFormat/>
    <w:uiPriority w:val="0"/>
    <w:rPr>
      <w:sz w:val="21"/>
      <w:szCs w:val="21"/>
    </w:rPr>
  </w:style>
  <w:style w:type="character" w:customStyle="1" w:styleId="34">
    <w:name w:val="页眉 字符"/>
    <w:link w:val="15"/>
    <w:qFormat/>
    <w:uiPriority w:val="0"/>
    <w:rPr>
      <w:rFonts w:ascii="Times New Roman" w:hAnsi="Times New Roman"/>
      <w:kern w:val="2"/>
      <w:sz w:val="18"/>
      <w:szCs w:val="18"/>
    </w:rPr>
  </w:style>
  <w:style w:type="character" w:customStyle="1" w:styleId="35">
    <w:name w:val="页脚 字符"/>
    <w:link w:val="14"/>
    <w:qFormat/>
    <w:uiPriority w:val="0"/>
    <w:rPr>
      <w:rFonts w:ascii="Times New Roman" w:hAnsi="Times New Roman"/>
      <w:kern w:val="2"/>
      <w:sz w:val="18"/>
      <w:szCs w:val="18"/>
    </w:rPr>
  </w:style>
  <w:style w:type="character" w:customStyle="1" w:styleId="36">
    <w:name w:val="标题 2 字符"/>
    <w:link w:val="3"/>
    <w:qFormat/>
    <w:uiPriority w:val="0"/>
    <w:rPr>
      <w:rFonts w:ascii="Arial" w:hAnsi="Arial" w:eastAsia="黑体" w:cs="Times New Roman"/>
      <w:b/>
      <w:sz w:val="32"/>
      <w:szCs w:val="20"/>
    </w:rPr>
  </w:style>
  <w:style w:type="paragraph" w:customStyle="1" w:styleId="37">
    <w:name w:val="wz1"/>
    <w:basedOn w:val="1"/>
    <w:qFormat/>
    <w:uiPriority w:val="0"/>
    <w:pPr>
      <w:widowControl/>
      <w:spacing w:before="100" w:beforeAutospacing="1" w:after="100" w:afterAutospacing="1" w:line="245" w:lineRule="atLeast"/>
      <w:jc w:val="left"/>
    </w:pPr>
    <w:rPr>
      <w:rFonts w:ascii="Arial Unicode MS" w:hAnsi="Arial Unicode MS" w:eastAsia="Arial Unicode MS" w:cs="Arial Unicode MS"/>
      <w:color w:val="CC0000"/>
      <w:kern w:val="0"/>
      <w:sz w:val="22"/>
      <w:szCs w:val="22"/>
    </w:rPr>
  </w:style>
  <w:style w:type="character" w:customStyle="1" w:styleId="38">
    <w:name w:val="正文文本 字符"/>
    <w:link w:val="7"/>
    <w:qFormat/>
    <w:uiPriority w:val="0"/>
    <w:rPr>
      <w:rFonts w:ascii="仿宋_GB2312" w:hAnsi="Times New Roman" w:eastAsia="仿宋_GB2312"/>
      <w:color w:val="000000"/>
      <w:sz w:val="24"/>
      <w:szCs w:val="28"/>
    </w:rPr>
  </w:style>
  <w:style w:type="character" w:customStyle="1" w:styleId="39">
    <w:name w:val="read"/>
    <w:basedOn w:val="28"/>
    <w:qFormat/>
    <w:uiPriority w:val="0"/>
  </w:style>
  <w:style w:type="character" w:customStyle="1" w:styleId="40">
    <w:name w:val="正文文本缩进 字符"/>
    <w:link w:val="8"/>
    <w:qFormat/>
    <w:uiPriority w:val="0"/>
    <w:rPr>
      <w:rFonts w:ascii="Times New Roman" w:hAnsi="Times New Roman" w:eastAsia="方正仿宋简体"/>
      <w:kern w:val="2"/>
      <w:sz w:val="24"/>
      <w:szCs w:val="30"/>
    </w:rPr>
  </w:style>
  <w:style w:type="character" w:customStyle="1" w:styleId="41">
    <w:name w:val="正文文本缩进 2 字符"/>
    <w:link w:val="13"/>
    <w:qFormat/>
    <w:uiPriority w:val="0"/>
    <w:rPr>
      <w:rFonts w:ascii="宋体" w:hAnsi="宋体"/>
      <w:kern w:val="2"/>
      <w:sz w:val="28"/>
    </w:rPr>
  </w:style>
  <w:style w:type="character" w:customStyle="1" w:styleId="42">
    <w:name w:val="正文文本缩进 3 字符"/>
    <w:link w:val="19"/>
    <w:qFormat/>
    <w:uiPriority w:val="0"/>
    <w:rPr>
      <w:rFonts w:ascii="仿宋_GB2312" w:hAnsi="宋体" w:eastAsia="仿宋_GB2312" w:cs="Arial"/>
      <w:color w:val="000000"/>
      <w:kern w:val="2"/>
      <w:sz w:val="24"/>
      <w:szCs w:val="24"/>
    </w:rPr>
  </w:style>
  <w:style w:type="character" w:customStyle="1" w:styleId="43">
    <w:name w:val="批注框文本 字符"/>
    <w:link w:val="2"/>
    <w:semiHidden/>
    <w:qFormat/>
    <w:uiPriority w:val="0"/>
    <w:rPr>
      <w:rFonts w:ascii="Times New Roman" w:hAnsi="Times New Roman"/>
      <w:kern w:val="2"/>
      <w:sz w:val="18"/>
      <w:szCs w:val="18"/>
    </w:rPr>
  </w:style>
  <w:style w:type="paragraph" w:customStyle="1" w:styleId="44">
    <w:name w:val="Char"/>
    <w:basedOn w:val="1"/>
    <w:qFormat/>
    <w:uiPriority w:val="0"/>
  </w:style>
  <w:style w:type="paragraph" w:customStyle="1" w:styleId="45">
    <w:name w:val="Char1"/>
    <w:basedOn w:val="1"/>
    <w:qFormat/>
    <w:uiPriority w:val="0"/>
    <w:pPr>
      <w:tabs>
        <w:tab w:val="left" w:pos="832"/>
      </w:tabs>
      <w:ind w:left="832" w:hanging="420"/>
      <w:jc w:val="center"/>
    </w:pPr>
    <w:rPr>
      <w:rFonts w:ascii="楷体_GB2312" w:eastAsia="楷体_GB2312"/>
      <w:b/>
      <w:color w:val="000080"/>
      <w:sz w:val="30"/>
      <w:szCs w:val="30"/>
    </w:rPr>
  </w:style>
  <w:style w:type="paragraph" w:customStyle="1" w:styleId="46">
    <w:name w:val="Char Char Char"/>
    <w:basedOn w:val="1"/>
    <w:qFormat/>
    <w:uiPriority w:val="0"/>
  </w:style>
  <w:style w:type="character" w:customStyle="1" w:styleId="47">
    <w:name w:val="批注文字 字符"/>
    <w:link w:val="6"/>
    <w:qFormat/>
    <w:uiPriority w:val="0"/>
    <w:rPr>
      <w:rFonts w:ascii="Times New Roman" w:hAnsi="Times New Roman" w:eastAsia="宋体" w:cs="Times New Roman"/>
      <w:szCs w:val="24"/>
    </w:rPr>
  </w:style>
  <w:style w:type="paragraph" w:customStyle="1" w:styleId="48">
    <w:name w:val="Char Char Char Char Char Char Char1 Char Char Char Char Char Char"/>
    <w:basedOn w:val="1"/>
    <w:qFormat/>
    <w:uiPriority w:val="0"/>
  </w:style>
  <w:style w:type="paragraph" w:customStyle="1" w:styleId="49">
    <w:name w:val="Char Char"/>
    <w:basedOn w:val="1"/>
    <w:qFormat/>
    <w:uiPriority w:val="0"/>
    <w:rPr>
      <w:szCs w:val="20"/>
    </w:rPr>
  </w:style>
  <w:style w:type="character" w:customStyle="1" w:styleId="50">
    <w:name w:val="HTML 预设格式 字符"/>
    <w:link w:val="22"/>
    <w:qFormat/>
    <w:uiPriority w:val="99"/>
    <w:rPr>
      <w:rFonts w:ascii="宋体" w:hAnsi="宋体" w:cs="宋体"/>
      <w:sz w:val="24"/>
      <w:szCs w:val="24"/>
    </w:rPr>
  </w:style>
  <w:style w:type="character" w:customStyle="1" w:styleId="51">
    <w:name w:val="批注主题 字符"/>
    <w:link w:val="24"/>
    <w:qFormat/>
    <w:uiPriority w:val="0"/>
    <w:rPr>
      <w:rFonts w:ascii="Times New Roman" w:hAnsi="Times New Roman"/>
      <w:b/>
      <w:bCs/>
      <w:kern w:val="2"/>
      <w:sz w:val="21"/>
      <w:szCs w:val="24"/>
    </w:rPr>
  </w:style>
  <w:style w:type="paragraph" w:customStyle="1" w:styleId="52">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53">
    <w:name w:val="日期 字符"/>
    <w:link w:val="12"/>
    <w:semiHidden/>
    <w:qFormat/>
    <w:uiPriority w:val="99"/>
    <w:rPr>
      <w:rFonts w:ascii="Times New Roman" w:hAnsi="Times New Roman"/>
      <w:kern w:val="2"/>
      <w:sz w:val="21"/>
      <w:szCs w:val="24"/>
    </w:rPr>
  </w:style>
  <w:style w:type="character" w:customStyle="1" w:styleId="54">
    <w:name w:val="批注文字 Char1"/>
    <w:qFormat/>
    <w:locked/>
    <w:uiPriority w:val="0"/>
    <w:rPr>
      <w:rFonts w:ascii="Times New Roman" w:hAnsi="Times New Roman"/>
      <w:kern w:val="2"/>
      <w:sz w:val="21"/>
    </w:rPr>
  </w:style>
  <w:style w:type="paragraph" w:customStyle="1" w:styleId="55">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56">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57">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58">
    <w:name w:val="修订5"/>
    <w:hidden/>
    <w:unhideWhenUsed/>
    <w:qFormat/>
    <w:uiPriority w:val="99"/>
    <w:rPr>
      <w:rFonts w:ascii="Times New Roman" w:hAnsi="Times New Roman" w:eastAsia="宋体" w:cs="Times New Roman"/>
      <w:kern w:val="2"/>
      <w:sz w:val="21"/>
      <w:szCs w:val="24"/>
      <w:lang w:val="en-US" w:eastAsia="zh-CN" w:bidi="ar-SA"/>
    </w:rPr>
  </w:style>
  <w:style w:type="paragraph" w:customStyle="1" w:styleId="59">
    <w:name w:val="修订6"/>
    <w:hidden/>
    <w:unhideWhenUsed/>
    <w:qFormat/>
    <w:uiPriority w:val="99"/>
    <w:rPr>
      <w:rFonts w:ascii="Times New Roman" w:hAnsi="Times New Roman" w:eastAsia="宋体" w:cs="Times New Roman"/>
      <w:kern w:val="2"/>
      <w:sz w:val="21"/>
      <w:szCs w:val="24"/>
      <w:lang w:val="en-US" w:eastAsia="zh-CN" w:bidi="ar-SA"/>
    </w:rPr>
  </w:style>
  <w:style w:type="paragraph" w:customStyle="1" w:styleId="60">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5" Type="http://schemas.openxmlformats.org/officeDocument/2006/relationships/fontTable" Target="fontTable.xml"/><Relationship Id="rId34" Type="http://schemas.openxmlformats.org/officeDocument/2006/relationships/customXml" Target="../customXml/item1.xml"/><Relationship Id="rId33" Type="http://schemas.openxmlformats.org/officeDocument/2006/relationships/numbering" Target="numbering.xml"/><Relationship Id="rId32" Type="http://schemas.openxmlformats.org/officeDocument/2006/relationships/image" Target="media/image2.wmf"/><Relationship Id="rId31" Type="http://schemas.openxmlformats.org/officeDocument/2006/relationships/oleObject" Target="embeddings/oleObject2.bin"/><Relationship Id="rId30" Type="http://schemas.openxmlformats.org/officeDocument/2006/relationships/image" Target="media/image1.wmf"/><Relationship Id="rId3" Type="http://schemas.openxmlformats.org/officeDocument/2006/relationships/footer" Target="footer1.xml"/><Relationship Id="rId29" Type="http://schemas.openxmlformats.org/officeDocument/2006/relationships/oleObject" Target="embeddings/oleObject1.bin"/><Relationship Id="rId28" Type="http://schemas.openxmlformats.org/officeDocument/2006/relationships/theme" Target="theme/theme1.xml"/><Relationship Id="rId27" Type="http://schemas.openxmlformats.org/officeDocument/2006/relationships/footer" Target="footer24.xml"/><Relationship Id="rId26" Type="http://schemas.openxmlformats.org/officeDocument/2006/relationships/footer" Target="footer23.xml"/><Relationship Id="rId25" Type="http://schemas.openxmlformats.org/officeDocument/2006/relationships/footer" Target="footer22.xml"/><Relationship Id="rId24" Type="http://schemas.openxmlformats.org/officeDocument/2006/relationships/footer" Target="footer21.xml"/><Relationship Id="rId23" Type="http://schemas.openxmlformats.org/officeDocument/2006/relationships/footer" Target="footer20.xml"/><Relationship Id="rId22" Type="http://schemas.openxmlformats.org/officeDocument/2006/relationships/footer" Target="footer19.xml"/><Relationship Id="rId21" Type="http://schemas.openxmlformats.org/officeDocument/2006/relationships/footer" Target="footer18.xml"/><Relationship Id="rId20" Type="http://schemas.openxmlformats.org/officeDocument/2006/relationships/footer" Target="footer17.xml"/><Relationship Id="rId2" Type="http://schemas.openxmlformats.org/officeDocument/2006/relationships/settings" Target="settings.xml"/><Relationship Id="rId19" Type="http://schemas.openxmlformats.org/officeDocument/2006/relationships/footer" Target="footer16.xml"/><Relationship Id="rId18" Type="http://schemas.openxmlformats.org/officeDocument/2006/relationships/footer" Target="footer15.xml"/><Relationship Id="rId17" Type="http://schemas.openxmlformats.org/officeDocument/2006/relationships/footer" Target="footer14.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B3FD5-4813-4FAA-AF7B-1D762B69C8A4}">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53</Pages>
  <Words>5534</Words>
  <Characters>31547</Characters>
  <Lines>262</Lines>
  <Paragraphs>74</Paragraphs>
  <TotalTime>84</TotalTime>
  <ScaleCrop>false</ScaleCrop>
  <LinksUpToDate>false</LinksUpToDate>
  <CharactersWithSpaces>37007</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2025-04-21T08:31:00Z</dcterms:created>
  <dc:creator>孔令滔</dc:creator>
  <cp:lastModifiedBy>zhaiq</cp:lastModifiedBy>
  <cp:lastPrinted>2021-10-27T07:04:00Z</cp:lastPrinted>
  <dcterms:modified xsi:type="dcterms:W3CDTF">2025-05-23T08:08:49Z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F5938C204B2E47289E2CD0F5320A2E31</vt:lpwstr>
  </property>
</Properties>
</file>